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2FD" w:rsidRDefault="00E33AB9">
      <w:pPr>
        <w:jc w:val="center"/>
        <w:rPr>
          <w:rFonts w:ascii="方正小标宋简体" w:eastAsia="方正小标宋简体" w:hAnsi="Times New Roman" w:cs="Times New Roman"/>
          <w:sz w:val="44"/>
          <w:szCs w:val="44"/>
        </w:rPr>
      </w:pPr>
      <w:bookmarkStart w:id="0" w:name="RANGE!A1:AH10"/>
      <w:bookmarkEnd w:id="0"/>
      <w:r>
        <w:rPr>
          <w:rFonts w:ascii="方正小标宋简体" w:eastAsia="方正小标宋简体" w:hAnsi="Times New Roman" w:cs="Times New Roman" w:hint="eastAsia"/>
          <w:sz w:val="44"/>
          <w:szCs w:val="44"/>
        </w:rPr>
        <w:t>霸州市</w:t>
      </w:r>
      <w:r>
        <w:rPr>
          <w:rFonts w:ascii="方正小标宋简体" w:eastAsia="方正小标宋简体" w:hAnsi="宋体" w:hint="eastAsia"/>
          <w:sz w:val="44"/>
          <w:szCs w:val="44"/>
        </w:rPr>
        <w:t>堂二里镇人民政府</w:t>
      </w:r>
      <w:r>
        <w:rPr>
          <w:rFonts w:ascii="方正小标宋简体" w:eastAsia="方正小标宋简体" w:hAnsi="Times New Roman" w:cs="Times New Roman" w:hint="eastAsia"/>
          <w:sz w:val="44"/>
          <w:szCs w:val="44"/>
        </w:rPr>
        <w:t>20</w:t>
      </w:r>
      <w:r>
        <w:rPr>
          <w:rFonts w:ascii="方正小标宋简体" w:eastAsia="方正小标宋简体" w:hAnsi="Times New Roman" w:cs="Times New Roman"/>
          <w:sz w:val="44"/>
          <w:szCs w:val="44"/>
        </w:rPr>
        <w:t>20</w:t>
      </w:r>
      <w:r>
        <w:rPr>
          <w:rFonts w:ascii="方正小标宋简体" w:eastAsia="方正小标宋简体" w:hAnsi="Times New Roman" w:cs="Times New Roman" w:hint="eastAsia"/>
          <w:sz w:val="44"/>
          <w:szCs w:val="44"/>
        </w:rPr>
        <w:t>年部门预算信息公开</w:t>
      </w:r>
    </w:p>
    <w:p w:rsidR="007243AC" w:rsidRDefault="007243AC">
      <w:pPr>
        <w:ind w:firstLineChars="200" w:firstLine="640"/>
        <w:rPr>
          <w:rFonts w:ascii="仿宋_GB2312" w:eastAsia="仿宋_GB2312" w:hAnsi="Times New Roman" w:cs="Times New Roman"/>
          <w:sz w:val="32"/>
          <w:szCs w:val="32"/>
        </w:rPr>
      </w:pP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按照《预算法》、《地方预决算公开操作规程》和《河北省省级预算公开办法》规定，现将霸州市堂二里镇人民政府20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年部门预算公开如下：</w:t>
      </w:r>
    </w:p>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一、部门职责及机构设置情况</w:t>
      </w:r>
    </w:p>
    <w:p w:rsidR="00A232FD" w:rsidRDefault="00E33AB9">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部门职责：</w:t>
      </w:r>
    </w:p>
    <w:p w:rsidR="00A232FD" w:rsidRDefault="00E33AB9">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镇党委、政府处于领导农业和农村工作的第一线，承担着建设社会主义新农村的光荣使命。</w:t>
      </w:r>
    </w:p>
    <w:p w:rsidR="00A232FD" w:rsidRDefault="00E33AB9">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镇党委按照便于集中统一领导、便于有效开展工作的要求，进一步理顺党委与政府及人民团体的职责分工，抓好党在农村各项方针政策的落实，加强基层组织和政权建设。紧紧围绕加快农业和农村经济结构战略性调整，抓好“两个文明”建设，加强对全镇各项工作的统一领导，充分发挥总揽全局、协调各方的领导核心作用。</w:t>
      </w:r>
    </w:p>
    <w:p w:rsidR="00A232FD" w:rsidRDefault="00E33AB9">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镇政府按照社会主义市场经济的客观要求，加强农村社会主义民主政治和法制建设，依法行政，规范管理；加强对农业和农村工作的指导，深化农村改革，全面发展农村经济；进一步增强镇政府统一管理经济、教育、科学、文化、卫生、体育事业和财政、民政、土地、计划生育等行</w:t>
      </w:r>
      <w:r>
        <w:rPr>
          <w:rFonts w:ascii="仿宋_GB2312" w:eastAsia="仿宋_GB2312" w:hAnsi="Times New Roman" w:cs="Times New Roman" w:hint="eastAsia"/>
          <w:sz w:val="32"/>
          <w:szCs w:val="32"/>
        </w:rPr>
        <w:lastRenderedPageBreak/>
        <w:t>政工作的职能，推进农村经济和社会的全面发展，实现共同富裕。围绕这一目标，镇政府切实转变职能，具体要求是：强化引导功能，集中精力抓好党的农村工作方针政策落实，抓好基层政权建设和农业产业结构调整等带有方向性和全局性的工作，引导农村富余劳动力向小城镇转移，促进农村现代化建设。强化服务功能，着重在技术、信息、人才、资金等方面为农民提供服务，为乡镇企业发展创造条件，大力培养和发展各类经济服务实体和社会中介组织，推动农业产业化服务体系的发展与完善，搞好产前、产中、产后服务，努力增加农民收入，减轻财政和农民负担。强化协调职能，使事业所站以及基层工商、税务等机构，能够围绕镇党委、镇政府工作“一盘棋”相互配合。同时，规范镇政府和村级组织的工作职能作用。</w:t>
      </w:r>
    </w:p>
    <w:p w:rsidR="00A232FD" w:rsidRDefault="00E33AB9">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镇党委、政府作为党在农村的基层组织和基层政权，对本地经济和社会发展负有领导责任，具有综合管理和协调的功能。进一步理顺关系，建立以块为主、条块结合的行政管理体制。涉农和为基层服务的事业单位，如农机推广、畜牧兽医、林业、水利、文化广播等，其人员和事业经费由镇进行统一管理；专业性较强的单位，如财政、司法、土地等，实行镇和市主管部门双重管理，以镇管理为主，上级业务部门实行业务领导和指导；实行省以下垂直管理的工商所、地税所和公安派出所、法庭、镇办中小学、卫生院以及设在本镇的信用社、供销社、粮站（库）、电管所等企业单位，由主管部门管理，接受镇党委、政府的监督，党的关系由镇管理，主要领导干部</w:t>
      </w:r>
      <w:r>
        <w:rPr>
          <w:rFonts w:ascii="仿宋_GB2312" w:eastAsia="仿宋_GB2312" w:hAnsi="Times New Roman" w:cs="Times New Roman" w:hint="eastAsia"/>
          <w:sz w:val="32"/>
          <w:szCs w:val="32"/>
        </w:rPr>
        <w:lastRenderedPageBreak/>
        <w:t>的任免、奖惩必须征求镇党委的意见。</w:t>
      </w:r>
    </w:p>
    <w:p w:rsidR="00A232FD" w:rsidRDefault="00E33AB9">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大力推进事业单位改革。根据中央精神，乡镇事业机构改革与党政机关机构改革同步进行。适应农村社会主义市场经济发展要求，积极探索符合乡镇实际需要的事业站、所设置形式。对职责任务基本消亡，不具备开展业务条件，多年不出成果，不创效益的站、所要撤销，对重复设置、分工过细、业务量不大的站、所进行合并，打破行业和部门界限实行综合设置。乡镇事业单位的设置形式，由镇党委、镇政府根据实际需要和财政承受能力确定，上级业务部门不得干预。推行分类管理，纠正事业单位行政化倾向。对兼有行政职能的站、所实行政事分开，将行政职能划归政府，使事业单位成为从事经济和社会活动的独立法人。对服务型的事业单位，要引入市场机制，探索企业化、社会化路子，条件成熟的转为服务实体；对社会公益型的事业单位，财政可给予适当扶持，积极鼓励社会力量兴办。结合中小学教职工定编工作，精干教师队伍，清退各种编外人员，从整体上提高教师队伍素质。</w:t>
      </w:r>
    </w:p>
    <w:p w:rsidR="00A232FD" w:rsidRDefault="00E33AB9">
      <w:pPr>
        <w:autoSpaceDE w:val="0"/>
        <w:autoSpaceDN w:val="0"/>
        <w:adjustRightInd w:val="0"/>
        <w:ind w:firstLineChars="200" w:firstLine="640"/>
        <w:jc w:val="left"/>
        <w:rPr>
          <w:rFonts w:ascii="仿宋_GB2312" w:eastAsia="仿宋_GB2312" w:hAnsi="Times New Roman" w:cs="Times New Roman"/>
          <w:sz w:val="32"/>
          <w:szCs w:val="32"/>
        </w:rPr>
      </w:pPr>
      <w:r>
        <w:rPr>
          <w:rFonts w:ascii="仿宋_GB2312" w:eastAsia="仿宋_GB2312" w:hAnsi="Times New Roman" w:cs="Times New Roman" w:hint="eastAsia"/>
          <w:sz w:val="32"/>
          <w:szCs w:val="32"/>
        </w:rPr>
        <w:t>通过乡镇机构改革，切实减轻农村负担，让广大农民感到满意，得到实惠。</w:t>
      </w:r>
    </w:p>
    <w:p w:rsidR="007243AC" w:rsidRDefault="007243AC">
      <w:pPr>
        <w:autoSpaceDE w:val="0"/>
        <w:autoSpaceDN w:val="0"/>
        <w:adjustRightInd w:val="0"/>
        <w:ind w:firstLineChars="200" w:firstLine="643"/>
        <w:jc w:val="left"/>
        <w:rPr>
          <w:rFonts w:ascii="楷体_GB2312" w:eastAsia="楷体_GB2312" w:hAnsi="Times New Roman" w:cs="Times New Roman"/>
          <w:b/>
          <w:sz w:val="32"/>
          <w:szCs w:val="32"/>
        </w:rPr>
      </w:pPr>
    </w:p>
    <w:p w:rsidR="007243AC" w:rsidRDefault="007243AC">
      <w:pPr>
        <w:autoSpaceDE w:val="0"/>
        <w:autoSpaceDN w:val="0"/>
        <w:adjustRightInd w:val="0"/>
        <w:ind w:firstLineChars="200" w:firstLine="643"/>
        <w:jc w:val="left"/>
        <w:rPr>
          <w:rFonts w:ascii="楷体_GB2312" w:eastAsia="楷体_GB2312" w:hAnsi="Times New Roman" w:cs="Times New Roman"/>
          <w:b/>
          <w:sz w:val="32"/>
          <w:szCs w:val="32"/>
        </w:rPr>
      </w:pPr>
    </w:p>
    <w:p w:rsidR="007243AC" w:rsidRDefault="007243AC">
      <w:pPr>
        <w:autoSpaceDE w:val="0"/>
        <w:autoSpaceDN w:val="0"/>
        <w:adjustRightInd w:val="0"/>
        <w:ind w:firstLineChars="200" w:firstLine="643"/>
        <w:jc w:val="left"/>
        <w:rPr>
          <w:rFonts w:ascii="楷体_GB2312" w:eastAsia="楷体_GB2312" w:hAnsi="Times New Roman" w:cs="Times New Roman"/>
          <w:b/>
          <w:sz w:val="32"/>
          <w:szCs w:val="32"/>
        </w:rPr>
      </w:pPr>
    </w:p>
    <w:p w:rsidR="00A232FD" w:rsidRDefault="00E33AB9">
      <w:pPr>
        <w:autoSpaceDE w:val="0"/>
        <w:autoSpaceDN w:val="0"/>
        <w:adjustRightInd w:val="0"/>
        <w:ind w:firstLineChars="200" w:firstLine="643"/>
        <w:jc w:val="left"/>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lastRenderedPageBreak/>
        <w:t>机构设置：</w:t>
      </w:r>
    </w:p>
    <w:p w:rsidR="00A232FD" w:rsidRDefault="00E33AB9">
      <w:pPr>
        <w:jc w:val="center"/>
        <w:outlineLvl w:val="0"/>
        <w:rPr>
          <w:rFonts w:ascii="Times New Roman" w:eastAsia="方正小标宋_GBK" w:hAnsi="Times New Roman" w:cs="Times New Roman"/>
          <w:sz w:val="32"/>
          <w:szCs w:val="24"/>
        </w:rPr>
      </w:pPr>
      <w:r>
        <w:rPr>
          <w:rFonts w:ascii="Times New Roman" w:eastAsia="方正小标宋_GBK" w:hAnsi="Times New Roman" w:cs="Times New Roman"/>
          <w:sz w:val="32"/>
          <w:szCs w:val="24"/>
        </w:rPr>
        <w:t>部门</w:t>
      </w:r>
      <w:r>
        <w:rPr>
          <w:rFonts w:ascii="Times New Roman" w:eastAsia="方正小标宋_GBK" w:hAnsi="Times New Roman" w:cs="Times New Roman" w:hint="eastAsia"/>
          <w:sz w:val="32"/>
          <w:szCs w:val="24"/>
        </w:rPr>
        <w:t>机构设置情况</w:t>
      </w:r>
    </w:p>
    <w:tbl>
      <w:tblPr>
        <w:tblW w:w="975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3711"/>
        <w:gridCol w:w="1866"/>
        <w:gridCol w:w="1536"/>
        <w:gridCol w:w="2642"/>
      </w:tblGrid>
      <w:tr w:rsidR="00A232FD">
        <w:trPr>
          <w:trHeight w:val="300"/>
          <w:tblHeader/>
          <w:jc w:val="center"/>
        </w:trPr>
        <w:tc>
          <w:tcPr>
            <w:tcW w:w="3711" w:type="dxa"/>
            <w:vMerge w:val="restart"/>
            <w:shd w:val="clear" w:color="auto" w:fill="auto"/>
            <w:vAlign w:val="center"/>
          </w:tcPr>
          <w:p w:rsidR="00A232FD" w:rsidRDefault="00E33A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单位名称</w:t>
            </w:r>
          </w:p>
        </w:tc>
        <w:tc>
          <w:tcPr>
            <w:tcW w:w="1866" w:type="dxa"/>
            <w:vMerge w:val="restart"/>
            <w:shd w:val="clear" w:color="auto" w:fill="auto"/>
            <w:vAlign w:val="center"/>
          </w:tcPr>
          <w:p w:rsidR="00A232FD" w:rsidRDefault="00E33A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单位性质</w:t>
            </w:r>
          </w:p>
        </w:tc>
        <w:tc>
          <w:tcPr>
            <w:tcW w:w="1536" w:type="dxa"/>
            <w:vMerge w:val="restart"/>
            <w:shd w:val="clear" w:color="auto" w:fill="auto"/>
            <w:vAlign w:val="center"/>
          </w:tcPr>
          <w:p w:rsidR="00A232FD" w:rsidRDefault="00E33A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单位规格</w:t>
            </w:r>
          </w:p>
        </w:tc>
        <w:tc>
          <w:tcPr>
            <w:tcW w:w="2642" w:type="dxa"/>
            <w:vMerge w:val="restart"/>
            <w:shd w:val="clear" w:color="auto" w:fill="auto"/>
            <w:vAlign w:val="center"/>
          </w:tcPr>
          <w:p w:rsidR="00A232FD" w:rsidRDefault="00E33AB9">
            <w:pPr>
              <w:spacing w:line="300" w:lineRule="exact"/>
              <w:jc w:val="center"/>
              <w:rPr>
                <w:rFonts w:ascii="Times New Roman" w:eastAsia="方正书宋_GBK" w:hAnsi="Times New Roman" w:cs="Times New Roman"/>
                <w:b/>
                <w:szCs w:val="24"/>
              </w:rPr>
            </w:pPr>
            <w:r>
              <w:rPr>
                <w:rFonts w:ascii="Times New Roman" w:eastAsia="方正书宋_GBK" w:hAnsi="Times New Roman" w:cs="Times New Roman"/>
                <w:b/>
                <w:szCs w:val="24"/>
              </w:rPr>
              <w:t>经费保障形式</w:t>
            </w:r>
          </w:p>
        </w:tc>
      </w:tr>
      <w:tr w:rsidR="00A232FD">
        <w:trPr>
          <w:trHeight w:val="300"/>
          <w:tblHeader/>
          <w:jc w:val="center"/>
        </w:trPr>
        <w:tc>
          <w:tcPr>
            <w:tcW w:w="3711" w:type="dxa"/>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1866" w:type="dxa"/>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1536" w:type="dxa"/>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2642" w:type="dxa"/>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r>
      <w:tr w:rsidR="00A232FD" w:rsidTr="007243AC">
        <w:trPr>
          <w:trHeight w:val="518"/>
          <w:jc w:val="center"/>
        </w:trPr>
        <w:tc>
          <w:tcPr>
            <w:tcW w:w="3711" w:type="dxa"/>
            <w:shd w:val="clear" w:color="auto" w:fill="auto"/>
            <w:vAlign w:val="center"/>
          </w:tcPr>
          <w:p w:rsidR="00A232FD" w:rsidRDefault="00E33AB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霸州市堂二里镇人民政府</w:t>
            </w:r>
          </w:p>
        </w:tc>
        <w:tc>
          <w:tcPr>
            <w:tcW w:w="1866" w:type="dxa"/>
            <w:shd w:val="clear" w:color="auto" w:fill="auto"/>
            <w:vAlign w:val="center"/>
          </w:tcPr>
          <w:p w:rsidR="00A232FD" w:rsidRDefault="00E33AB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行政</w:t>
            </w:r>
          </w:p>
        </w:tc>
        <w:tc>
          <w:tcPr>
            <w:tcW w:w="1536" w:type="dxa"/>
            <w:shd w:val="clear" w:color="auto" w:fill="auto"/>
            <w:vAlign w:val="center"/>
          </w:tcPr>
          <w:p w:rsidR="00A232FD" w:rsidRDefault="00E33AB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正科级</w:t>
            </w:r>
          </w:p>
        </w:tc>
        <w:tc>
          <w:tcPr>
            <w:tcW w:w="2642" w:type="dxa"/>
            <w:shd w:val="clear" w:color="auto" w:fill="auto"/>
            <w:vAlign w:val="center"/>
          </w:tcPr>
          <w:p w:rsidR="00A232FD" w:rsidRDefault="00E33AB9">
            <w:pPr>
              <w:spacing w:line="300" w:lineRule="exact"/>
              <w:jc w:val="center"/>
              <w:rPr>
                <w:rFonts w:ascii="Times New Roman" w:eastAsia="方正书宋_GBK" w:hAnsi="Times New Roman" w:cs="Times New Roman"/>
                <w:szCs w:val="24"/>
              </w:rPr>
            </w:pPr>
            <w:r>
              <w:rPr>
                <w:rFonts w:ascii="Times New Roman" w:eastAsia="方正书宋_GBK" w:hAnsi="Times New Roman" w:cs="Times New Roman" w:hint="eastAsia"/>
                <w:szCs w:val="24"/>
              </w:rPr>
              <w:t>财政拨款</w:t>
            </w:r>
          </w:p>
        </w:tc>
      </w:tr>
    </w:tbl>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二、部门预算安排的总体情况</w:t>
      </w:r>
    </w:p>
    <w:p w:rsidR="00A232FD" w:rsidRDefault="00E33AB9">
      <w:pPr>
        <w:ind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按照预算管理有关规定，目前我市部门预算的编制实行综合预算制度，即全部收入和支出都反映在预算中。</w:t>
      </w:r>
    </w:p>
    <w:p w:rsidR="00A232FD" w:rsidRDefault="00E33AB9">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1、收入说明</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反映本部门当年全部收入。20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年预算收入1606.95万元，其中：一般公共预算收入1606.95万元，政府性基金预算收入0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，国有资本经营</w:t>
      </w:r>
      <w:r>
        <w:rPr>
          <w:rFonts w:ascii="仿宋_GB2312" w:eastAsia="仿宋_GB2312" w:hAnsi="Times New Roman" w:cs="Times New Roman"/>
          <w:sz w:val="32"/>
          <w:szCs w:val="32"/>
        </w:rPr>
        <w:t>预算收入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w:t>
      </w:r>
      <w:r>
        <w:rPr>
          <w:rFonts w:ascii="仿宋_GB2312" w:eastAsia="仿宋_GB2312" w:hAnsi="Times New Roman" w:cs="Times New Roman"/>
          <w:sz w:val="32"/>
          <w:szCs w:val="32"/>
        </w:rPr>
        <w:t>上级补助收入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事业收入0万元，经营</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0万元，附属单位上缴</w:t>
      </w:r>
      <w:r>
        <w:rPr>
          <w:rFonts w:ascii="仿宋_GB2312" w:eastAsia="仿宋_GB2312" w:hAnsi="Times New Roman" w:cs="Times New Roman"/>
          <w:sz w:val="32"/>
          <w:szCs w:val="32"/>
        </w:rPr>
        <w:t>收入</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其他收入0万元。</w:t>
      </w:r>
    </w:p>
    <w:p w:rsidR="00A232FD" w:rsidRDefault="00E33AB9">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2、支出说明</w:t>
      </w:r>
    </w:p>
    <w:p w:rsidR="00A232FD" w:rsidRDefault="00E33AB9">
      <w:pPr>
        <w:rPr>
          <w:rFonts w:ascii="宋体" w:hAnsi="宋体" w:cs="宋体"/>
          <w:kern w:val="0"/>
          <w:sz w:val="18"/>
          <w:szCs w:val="18"/>
        </w:rPr>
      </w:pPr>
      <w:r>
        <w:rPr>
          <w:rFonts w:ascii="仿宋_GB2312" w:eastAsia="仿宋_GB2312" w:hAnsi="Times New Roman" w:cs="Times New Roman" w:hint="eastAsia"/>
          <w:sz w:val="32"/>
          <w:szCs w:val="32"/>
        </w:rPr>
        <w:t>收支预算总表支出栏、基本支出表、项目支出表按经济分类和支出功能分类科目编制，反映霸州市堂二里镇人民政府20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年度部门预算中支出预算的总体情况。20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年本部门支出预算1606.95万元，其中：基本支出1265.95万元，包括：人员经费1126.86</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和日常公用经费</w:t>
      </w:r>
      <w:r>
        <w:rPr>
          <w:rFonts w:ascii="仿宋_GB2312" w:eastAsia="仿宋_GB2312" w:hAnsi="Times New Roman" w:cs="Times New Roman" w:hint="eastAsia"/>
          <w:sz w:val="32"/>
          <w:szCs w:val="32"/>
        </w:rPr>
        <w:lastRenderedPageBreak/>
        <w:t>139.09</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；项目支出341万元，全部为本级</w:t>
      </w:r>
      <w:r>
        <w:rPr>
          <w:rFonts w:ascii="仿宋_GB2312" w:eastAsia="仿宋_GB2312" w:hAnsi="Times New Roman" w:cs="Times New Roman"/>
          <w:sz w:val="32"/>
          <w:szCs w:val="32"/>
        </w:rPr>
        <w:t>支出，</w:t>
      </w:r>
      <w:r>
        <w:rPr>
          <w:rFonts w:ascii="仿宋_GB2312" w:eastAsia="仿宋_GB2312" w:hAnsi="Times New Roman" w:cs="Times New Roman" w:hint="eastAsia"/>
          <w:sz w:val="32"/>
          <w:szCs w:val="32"/>
        </w:rPr>
        <w:t>主要为两违拆除经费、河道综合整治资金、病虫害防治项目资金、秸秆综合利用资金、信访</w:t>
      </w:r>
      <w:proofErr w:type="gramStart"/>
      <w:r>
        <w:rPr>
          <w:rFonts w:ascii="仿宋_GB2312" w:eastAsia="仿宋_GB2312" w:hAnsi="Times New Roman" w:cs="Times New Roman" w:hint="eastAsia"/>
          <w:sz w:val="32"/>
          <w:szCs w:val="32"/>
        </w:rPr>
        <w:t>维稳工作</w:t>
      </w:r>
      <w:proofErr w:type="gramEnd"/>
      <w:r>
        <w:rPr>
          <w:rFonts w:ascii="仿宋_GB2312" w:eastAsia="仿宋_GB2312" w:hAnsi="Times New Roman" w:cs="Times New Roman" w:hint="eastAsia"/>
          <w:sz w:val="32"/>
          <w:szCs w:val="32"/>
        </w:rPr>
        <w:t>经费、政府占地土地补偿资金等；上缴上级支出0万元，</w:t>
      </w:r>
      <w:r>
        <w:rPr>
          <w:rFonts w:ascii="仿宋_GB2312" w:eastAsia="仿宋_GB2312" w:hAnsi="Times New Roman" w:cs="Times New Roman"/>
          <w:sz w:val="32"/>
          <w:szCs w:val="32"/>
        </w:rPr>
        <w:t>经营支出</w:t>
      </w:r>
      <w:r>
        <w:rPr>
          <w:rFonts w:ascii="仿宋_GB2312" w:eastAsia="仿宋_GB2312" w:hAnsi="Times New Roman" w:cs="Times New Roman" w:hint="eastAsia"/>
          <w:sz w:val="32"/>
          <w:szCs w:val="32"/>
        </w:rPr>
        <w:t>0</w:t>
      </w:r>
      <w:r>
        <w:rPr>
          <w:rFonts w:ascii="仿宋_GB2312" w:eastAsia="仿宋_GB2312" w:hAnsi="Times New Roman" w:cs="Times New Roman"/>
          <w:sz w:val="32"/>
          <w:szCs w:val="32"/>
        </w:rPr>
        <w:t>万元，</w:t>
      </w:r>
      <w:r>
        <w:rPr>
          <w:rFonts w:ascii="仿宋_GB2312" w:eastAsia="仿宋_GB2312" w:hAnsi="Times New Roman" w:cs="Times New Roman" w:hint="eastAsia"/>
          <w:sz w:val="32"/>
          <w:szCs w:val="32"/>
        </w:rPr>
        <w:t>对附属单位补助支出0万元。</w:t>
      </w:r>
    </w:p>
    <w:p w:rsidR="00A232FD" w:rsidRDefault="00E33AB9">
      <w:pPr>
        <w:ind w:firstLine="640"/>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3、比上年增减情况</w:t>
      </w:r>
    </w:p>
    <w:p w:rsidR="00A232FD" w:rsidRDefault="00E33AB9">
      <w:pPr>
        <w:ind w:firstLine="640"/>
        <w:rPr>
          <w:rFonts w:ascii="仿宋_GB2312" w:eastAsia="仿宋_GB2312" w:hAnsi="黑体" w:cs="Times New Roman"/>
          <w:color w:val="000000"/>
          <w:sz w:val="32"/>
          <w:szCs w:val="32"/>
        </w:rPr>
      </w:pPr>
      <w:r>
        <w:rPr>
          <w:rFonts w:ascii="仿宋_GB2312" w:eastAsia="仿宋_GB2312" w:hAnsi="Times New Roman" w:cs="Times New Roman" w:hint="eastAsia"/>
          <w:color w:val="000000"/>
          <w:sz w:val="32"/>
          <w:szCs w:val="32"/>
        </w:rPr>
        <w:t>20</w:t>
      </w:r>
      <w:r>
        <w:rPr>
          <w:rFonts w:ascii="仿宋_GB2312" w:eastAsia="仿宋_GB2312" w:hAnsi="Times New Roman" w:cs="Times New Roman"/>
          <w:color w:val="000000"/>
          <w:sz w:val="32"/>
          <w:szCs w:val="32"/>
        </w:rPr>
        <w:t>20</w:t>
      </w:r>
      <w:r>
        <w:rPr>
          <w:rFonts w:ascii="仿宋_GB2312" w:eastAsia="仿宋_GB2312" w:hAnsi="Times New Roman" w:cs="Times New Roman" w:hint="eastAsia"/>
          <w:color w:val="000000"/>
          <w:sz w:val="32"/>
          <w:szCs w:val="32"/>
        </w:rPr>
        <w:t>年预算收支安排</w:t>
      </w:r>
      <w:r>
        <w:rPr>
          <w:rFonts w:ascii="仿宋_GB2312" w:eastAsia="仿宋_GB2312" w:hAnsi="Times New Roman" w:cs="Times New Roman" w:hint="eastAsia"/>
          <w:sz w:val="32"/>
          <w:szCs w:val="32"/>
        </w:rPr>
        <w:t>1606.95</w:t>
      </w:r>
      <w:r>
        <w:rPr>
          <w:rFonts w:ascii="仿宋_GB2312" w:eastAsia="仿宋_GB2312" w:hAnsi="Times New Roman" w:cs="Times New Roman" w:hint="eastAsia"/>
          <w:color w:val="000000"/>
          <w:sz w:val="32"/>
          <w:szCs w:val="32"/>
        </w:rPr>
        <w:t>万元，较20</w:t>
      </w:r>
      <w:r>
        <w:rPr>
          <w:rFonts w:ascii="仿宋_GB2312" w:eastAsia="仿宋_GB2312" w:hAnsi="Times New Roman" w:cs="Times New Roman"/>
          <w:color w:val="000000"/>
          <w:sz w:val="32"/>
          <w:szCs w:val="32"/>
        </w:rPr>
        <w:t>19</w:t>
      </w:r>
      <w:r>
        <w:rPr>
          <w:rFonts w:ascii="仿宋_GB2312" w:eastAsia="仿宋_GB2312" w:hAnsi="Times New Roman" w:cs="Times New Roman" w:hint="eastAsia"/>
          <w:color w:val="000000"/>
          <w:sz w:val="32"/>
          <w:szCs w:val="32"/>
        </w:rPr>
        <w:t>年预算减少17.68万元，</w:t>
      </w:r>
      <w:r>
        <w:rPr>
          <w:rFonts w:ascii="仿宋_GB2312" w:eastAsia="仿宋_GB2312" w:hAnsi="Times New Roman" w:cs="Times New Roman" w:hint="eastAsia"/>
          <w:color w:val="FF0000"/>
          <w:sz w:val="32"/>
          <w:szCs w:val="32"/>
        </w:rPr>
        <w:t>其中</w:t>
      </w:r>
      <w:r>
        <w:rPr>
          <w:rFonts w:ascii="仿宋_GB2312" w:eastAsia="仿宋_GB2312" w:hAnsi="Times New Roman" w:cs="Times New Roman" w:hint="eastAsia"/>
          <w:color w:val="000000"/>
          <w:sz w:val="32"/>
          <w:szCs w:val="32"/>
        </w:rPr>
        <w:t>：基本支出增加76.58万元，主要为增加人员经费支出；项目支出减少94.26万元，主要为减少</w:t>
      </w:r>
      <w:r>
        <w:rPr>
          <w:rFonts w:ascii="仿宋_GB2312" w:eastAsia="仿宋_GB2312" w:hAnsi="Times New Roman" w:cs="Times New Roman" w:hint="eastAsia"/>
          <w:sz w:val="32"/>
          <w:szCs w:val="32"/>
        </w:rPr>
        <w:t>提前下达九通一平工程旧欠资金</w:t>
      </w:r>
      <w:r>
        <w:rPr>
          <w:rFonts w:ascii="仿宋_GB2312" w:eastAsia="仿宋_GB2312" w:hAnsi="Times New Roman" w:cs="Times New Roman" w:hint="eastAsia"/>
          <w:color w:val="000000"/>
          <w:sz w:val="32"/>
          <w:szCs w:val="32"/>
        </w:rPr>
        <w:t>项目支出。</w:t>
      </w:r>
    </w:p>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三、机关运行经费安排情况</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机关运行经费共计安排139.09万元，主要用于办公区的日常维修、办公用房水电费、办公用房取暖费、办公及印刷费，邮电费、差旅费、会议费、福利费、专用材料及一般设备购置费、办公用房物业管理费、公务用车运行维护费等日常运行支出。</w:t>
      </w:r>
    </w:p>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四、财政拨款</w:t>
      </w:r>
      <w:r>
        <w:rPr>
          <w:rFonts w:ascii="黑体" w:eastAsia="黑体" w:hAnsi="黑体" w:cs="Times New Roman"/>
          <w:sz w:val="32"/>
          <w:szCs w:val="32"/>
        </w:rPr>
        <w:t>“</w:t>
      </w:r>
      <w:r>
        <w:rPr>
          <w:rFonts w:ascii="黑体" w:eastAsia="黑体" w:hAnsi="黑体" w:cs="Times New Roman" w:hint="eastAsia"/>
          <w:sz w:val="32"/>
          <w:szCs w:val="32"/>
        </w:rPr>
        <w:t>三公</w:t>
      </w:r>
      <w:r>
        <w:rPr>
          <w:rFonts w:ascii="黑体" w:eastAsia="黑体" w:hAnsi="黑体" w:cs="Times New Roman"/>
          <w:sz w:val="32"/>
          <w:szCs w:val="32"/>
        </w:rPr>
        <w:t>”</w:t>
      </w:r>
      <w:r>
        <w:rPr>
          <w:rFonts w:ascii="黑体" w:eastAsia="黑体" w:hAnsi="黑体" w:cs="Times New Roman" w:hint="eastAsia"/>
          <w:sz w:val="32"/>
          <w:szCs w:val="32"/>
        </w:rPr>
        <w:t>经费预算情况及增减变化原因</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“三公”经费预算安排8</w:t>
      </w:r>
      <w:r>
        <w:rPr>
          <w:rFonts w:ascii="仿宋_GB2312" w:eastAsia="仿宋_GB2312" w:hAnsi="Times New Roman" w:cs="Times New Roman"/>
          <w:sz w:val="32"/>
          <w:szCs w:val="32"/>
        </w:rPr>
        <w:t>.</w:t>
      </w:r>
      <w:r>
        <w:rPr>
          <w:rFonts w:ascii="仿宋_GB2312" w:eastAsia="仿宋_GB2312" w:hAnsi="Times New Roman" w:cs="Times New Roman" w:hint="eastAsia"/>
          <w:sz w:val="32"/>
          <w:szCs w:val="32"/>
        </w:rPr>
        <w:t>45万元，其中：因公出国（境）费0万元；公务用车购置及运维费7</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万元（其中：公务用车购置费0万元，公务用车运行维护费7</w:t>
      </w:r>
      <w:r>
        <w:rPr>
          <w:rFonts w:ascii="仿宋_GB2312" w:eastAsia="仿宋_GB2312" w:hAnsi="Times New Roman" w:cs="Times New Roman"/>
          <w:sz w:val="32"/>
          <w:szCs w:val="32"/>
        </w:rPr>
        <w:t>.5</w:t>
      </w:r>
      <w:r>
        <w:rPr>
          <w:rFonts w:ascii="仿宋_GB2312" w:eastAsia="仿宋_GB2312" w:hAnsi="Times New Roman" w:cs="Times New Roman" w:hint="eastAsia"/>
          <w:sz w:val="32"/>
          <w:szCs w:val="32"/>
        </w:rPr>
        <w:t>万元)；公务接待费0.95万元，与20</w:t>
      </w:r>
      <w:r>
        <w:rPr>
          <w:rFonts w:ascii="仿宋_GB2312" w:eastAsia="仿宋_GB2312" w:hAnsi="Times New Roman" w:cs="Times New Roman"/>
          <w:sz w:val="32"/>
          <w:szCs w:val="32"/>
        </w:rPr>
        <w:t>19</w:t>
      </w:r>
      <w:r>
        <w:rPr>
          <w:rFonts w:ascii="仿宋_GB2312" w:eastAsia="仿宋_GB2312" w:hAnsi="Times New Roman" w:cs="Times New Roman" w:hint="eastAsia"/>
          <w:sz w:val="32"/>
          <w:szCs w:val="32"/>
        </w:rPr>
        <w:t>年“三公”经费预算相比减少0.02万元。</w:t>
      </w:r>
    </w:p>
    <w:p w:rsidR="007243AC" w:rsidRDefault="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lastRenderedPageBreak/>
        <w:t>主要是因为因公出国（境）费与2019年持平，无增减变化；公务用车购置费与2019年持平，无增减变化；公务用车运行维护费与2019年持平，无增减变化；公务接待费减少0.</w:t>
      </w:r>
      <w:r>
        <w:rPr>
          <w:rFonts w:ascii="仿宋_GB2312" w:eastAsia="仿宋_GB2312" w:hAnsi="Times New Roman" w:cs="Times New Roman"/>
          <w:sz w:val="32"/>
          <w:szCs w:val="32"/>
        </w:rPr>
        <w:t>0</w:t>
      </w:r>
      <w:r w:rsidRPr="007243AC">
        <w:rPr>
          <w:rFonts w:ascii="仿宋_GB2312" w:eastAsia="仿宋_GB2312" w:hAnsi="Times New Roman" w:cs="Times New Roman" w:hint="eastAsia"/>
          <w:sz w:val="32"/>
          <w:szCs w:val="32"/>
        </w:rPr>
        <w:t>2万元，减少原因为</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sz w:val="32"/>
          <w:szCs w:val="32"/>
        </w:rPr>
        <w:t>严格</w:t>
      </w:r>
      <w:r>
        <w:rPr>
          <w:rFonts w:ascii="仿宋_GB2312" w:eastAsia="仿宋_GB2312" w:hAnsi="Times New Roman" w:cs="Times New Roman" w:hint="eastAsia"/>
          <w:sz w:val="32"/>
          <w:szCs w:val="32"/>
        </w:rPr>
        <w:t>接待费</w:t>
      </w:r>
      <w:r>
        <w:rPr>
          <w:rFonts w:ascii="仿宋_GB2312" w:eastAsia="仿宋_GB2312" w:hAnsi="Times New Roman" w:cs="Times New Roman"/>
          <w:sz w:val="32"/>
          <w:szCs w:val="32"/>
        </w:rPr>
        <w:t>支出。</w:t>
      </w:r>
    </w:p>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五、预算绩效信息</w:t>
      </w:r>
    </w:p>
    <w:p w:rsidR="00A232FD" w:rsidRDefault="00E33AB9">
      <w:pPr>
        <w:autoSpaceDE w:val="0"/>
        <w:autoSpaceDN w:val="0"/>
        <w:adjustRightInd w:val="0"/>
        <w:ind w:firstLineChars="200" w:firstLine="643"/>
        <w:jc w:val="left"/>
        <w:rPr>
          <w:rFonts w:ascii="楷体_GB2312" w:eastAsia="楷体_GB2312" w:hAnsi="Times New Roman" w:cs="Times New Roman"/>
          <w:b/>
          <w:sz w:val="32"/>
          <w:szCs w:val="32"/>
        </w:rPr>
      </w:pPr>
      <w:bookmarkStart w:id="1" w:name="_Toc471398463"/>
      <w:r>
        <w:rPr>
          <w:rFonts w:ascii="楷体_GB2312" w:eastAsia="楷体_GB2312" w:hAnsi="Times New Roman" w:cs="Times New Roman" w:hint="eastAsia"/>
          <w:b/>
          <w:sz w:val="32"/>
          <w:szCs w:val="32"/>
        </w:rPr>
        <w:t>第一部分 部门整体绩效</w:t>
      </w:r>
      <w:r>
        <w:rPr>
          <w:rFonts w:ascii="楷体_GB2312" w:eastAsia="楷体_GB2312" w:hAnsi="Times New Roman" w:cs="Times New Roman"/>
          <w:b/>
          <w:sz w:val="32"/>
          <w:szCs w:val="32"/>
        </w:rPr>
        <w:t>目标</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（一）</w:t>
      </w:r>
      <w:r>
        <w:rPr>
          <w:rFonts w:ascii="仿宋_GB2312" w:eastAsia="仿宋_GB2312" w:hAnsi="Times New Roman" w:cs="Times New Roman"/>
          <w:sz w:val="32"/>
          <w:szCs w:val="32"/>
        </w:rPr>
        <w:t>总体绩效目标</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以打造创业创新、文化生态、幸福平安新堂二里镇为主要职责，不断深化改革，进一步提升公共服务的意识和能力，努力打造服务型政府。通过提供优质的服务和改善经济发展环境来推动经济发展，建立健全依法行政型体制，真正实现依法行政。</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一是在高质量发展中实现新作为新突破。加快推进重点项目建设，加快企业转型升级。引导企业依靠先进技术、设备、管理方面进行提升 ；二是在生态环境上实现新突破。加强自然生态环境保护投入，大气、水体、土壤污染防治和林木绿化方面持续改善；三是在农村人居环境整治上实现新突破。在坑塘环境、城乡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w:t>
      </w:r>
      <w:r w:rsidRPr="007243AC">
        <w:rPr>
          <w:rFonts w:ascii="仿宋_GB2312" w:eastAsia="仿宋_GB2312" w:hAnsi="Times New Roman" w:cs="Times New Roman" w:hint="eastAsia"/>
          <w:sz w:val="32"/>
          <w:szCs w:val="32"/>
        </w:rPr>
        <w:lastRenderedPageBreak/>
        <w:t>破。对涉众信访案件，持续开展攻坚、抓好社会治安综合治理、扫黑除恶、安全生产和食药安全等工作，特别高度关注重点领域、重点行业，切实做到隐患排查</w:t>
      </w:r>
      <w:proofErr w:type="gramStart"/>
      <w:r w:rsidRPr="007243AC">
        <w:rPr>
          <w:rFonts w:ascii="仿宋_GB2312" w:eastAsia="仿宋_GB2312" w:hAnsi="Times New Roman" w:cs="Times New Roman" w:hint="eastAsia"/>
          <w:sz w:val="32"/>
          <w:szCs w:val="32"/>
        </w:rPr>
        <w:t>整改全</w:t>
      </w:r>
      <w:proofErr w:type="gramEnd"/>
      <w:r w:rsidRPr="007243AC">
        <w:rPr>
          <w:rFonts w:ascii="仿宋_GB2312" w:eastAsia="仿宋_GB2312" w:hAnsi="Times New Roman" w:cs="Times New Roman" w:hint="eastAsia"/>
          <w:sz w:val="32"/>
          <w:szCs w:val="32"/>
        </w:rPr>
        <w:t>覆盖、无死角；六是在党委、政府自身建设上实现新突破。规范村“两室”建设，不断提升、完善基层党建阵地配套设施，推动党建工作全覆盖，开展作风建设，强化监督执纪审查。</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（二）分项</w:t>
      </w:r>
      <w:r>
        <w:rPr>
          <w:rFonts w:ascii="仿宋_GB2312" w:eastAsia="仿宋_GB2312" w:hAnsi="Times New Roman" w:cs="Times New Roman"/>
          <w:sz w:val="32"/>
          <w:szCs w:val="32"/>
        </w:rPr>
        <w:t>绩效目标</w:t>
      </w:r>
    </w:p>
    <w:p w:rsidR="00A232FD" w:rsidRPr="007243AC" w:rsidRDefault="00A32DA3" w:rsidP="007243A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w:t>
      </w:r>
      <w:r w:rsidR="00E33AB9" w:rsidRPr="007243AC">
        <w:rPr>
          <w:rFonts w:ascii="仿宋_GB2312" w:eastAsia="仿宋_GB2312" w:hAnsi="Times New Roman" w:cs="Times New Roman" w:hint="eastAsia"/>
          <w:sz w:val="32"/>
          <w:szCs w:val="32"/>
        </w:rPr>
        <w:t>巩固生态环境治理成果</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绩效目标：继续强化大气环境大气污染防治力度，主要针对秸秆、垃圾禁烧、“散乱污”企业巡查整治等；</w:t>
      </w:r>
      <w:proofErr w:type="gramStart"/>
      <w:r w:rsidRPr="007243AC">
        <w:rPr>
          <w:rFonts w:ascii="仿宋_GB2312" w:eastAsia="仿宋_GB2312" w:hAnsi="Times New Roman" w:cs="Times New Roman" w:hint="eastAsia"/>
          <w:sz w:val="32"/>
          <w:szCs w:val="32"/>
        </w:rPr>
        <w:t>对堂二里</w:t>
      </w:r>
      <w:proofErr w:type="gramEnd"/>
      <w:r w:rsidRPr="007243AC">
        <w:rPr>
          <w:rFonts w:ascii="仿宋_GB2312" w:eastAsia="仿宋_GB2312" w:hAnsi="Times New Roman" w:cs="Times New Roman" w:hint="eastAsia"/>
          <w:sz w:val="32"/>
          <w:szCs w:val="32"/>
        </w:rPr>
        <w:t>镇域内所有河道、干渠、坑塘等开展全面排查治理，加强长效机制建设，确保白洋淀流域水污染治理成果；持续开展生态林木区养护及病虫害防治工作。</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绩效指标：秸秆综合利用率应达到95%以上；较去年同期着火点数量减少2个以上；治理后河道水质指标数值情况应达到地表水四类以上水质；生态林木区病虫害发病率低于5%。</w:t>
      </w:r>
    </w:p>
    <w:p w:rsidR="00A232FD" w:rsidRPr="007243AC" w:rsidRDefault="00A32DA3" w:rsidP="007243AC">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2</w:t>
      </w:r>
      <w:r>
        <w:rPr>
          <w:rFonts w:ascii="仿宋_GB2312" w:eastAsia="仿宋_GB2312" w:hAnsi="Times New Roman" w:cs="Times New Roman" w:hint="eastAsia"/>
          <w:sz w:val="32"/>
          <w:szCs w:val="32"/>
        </w:rPr>
        <w:t>、</w:t>
      </w:r>
      <w:r w:rsidR="00E33AB9" w:rsidRPr="007243AC">
        <w:rPr>
          <w:rFonts w:ascii="仿宋_GB2312" w:eastAsia="仿宋_GB2312" w:hAnsi="Times New Roman" w:cs="Times New Roman" w:hint="eastAsia"/>
          <w:sz w:val="32"/>
          <w:szCs w:val="32"/>
        </w:rPr>
        <w:t>建立“两违”拆除整治，长效机制</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绩效目标： 重点对我镇域内相关</w:t>
      </w:r>
      <w:proofErr w:type="gramStart"/>
      <w:r w:rsidRPr="007243AC">
        <w:rPr>
          <w:rFonts w:ascii="仿宋_GB2312" w:eastAsia="仿宋_GB2312" w:hAnsi="Times New Roman" w:cs="Times New Roman" w:hint="eastAsia"/>
          <w:sz w:val="32"/>
          <w:szCs w:val="32"/>
        </w:rPr>
        <w:t>村街侵街占道</w:t>
      </w:r>
      <w:proofErr w:type="gramEnd"/>
      <w:r w:rsidRPr="007243AC">
        <w:rPr>
          <w:rFonts w:ascii="仿宋_GB2312" w:eastAsia="仿宋_GB2312" w:hAnsi="Times New Roman" w:cs="Times New Roman" w:hint="eastAsia"/>
          <w:sz w:val="32"/>
          <w:szCs w:val="32"/>
        </w:rPr>
        <w:t>等影响农村人居环境的</w:t>
      </w:r>
      <w:proofErr w:type="gramStart"/>
      <w:r w:rsidRPr="007243AC">
        <w:rPr>
          <w:rFonts w:ascii="仿宋_GB2312" w:eastAsia="仿宋_GB2312" w:hAnsi="Times New Roman" w:cs="Times New Roman" w:hint="eastAsia"/>
          <w:sz w:val="32"/>
          <w:szCs w:val="32"/>
        </w:rPr>
        <w:t>违建问题</w:t>
      </w:r>
      <w:proofErr w:type="gramEnd"/>
      <w:r w:rsidRPr="007243AC">
        <w:rPr>
          <w:rFonts w:ascii="仿宋_GB2312" w:eastAsia="仿宋_GB2312" w:hAnsi="Times New Roman" w:cs="Times New Roman" w:hint="eastAsia"/>
          <w:sz w:val="32"/>
          <w:szCs w:val="32"/>
        </w:rPr>
        <w:t>进行治理 ,保证拆除整改到位，消除违法状态; 减少因</w:t>
      </w:r>
      <w:proofErr w:type="gramStart"/>
      <w:r w:rsidRPr="007243AC">
        <w:rPr>
          <w:rFonts w:ascii="仿宋_GB2312" w:eastAsia="仿宋_GB2312" w:hAnsi="Times New Roman" w:cs="Times New Roman" w:hint="eastAsia"/>
          <w:sz w:val="32"/>
          <w:szCs w:val="32"/>
        </w:rPr>
        <w:t>违建及违建</w:t>
      </w:r>
      <w:proofErr w:type="gramEnd"/>
      <w:r w:rsidRPr="007243AC">
        <w:rPr>
          <w:rFonts w:ascii="仿宋_GB2312" w:eastAsia="仿宋_GB2312" w:hAnsi="Times New Roman" w:cs="Times New Roman" w:hint="eastAsia"/>
          <w:sz w:val="32"/>
          <w:szCs w:val="32"/>
        </w:rPr>
        <w:t>拆除造成的信访问题。</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绩效指标：违章建筑、违法占地拆除面积占计划拆除面积的比率的100%；因</w:t>
      </w:r>
      <w:proofErr w:type="gramStart"/>
      <w:r w:rsidRPr="007243AC">
        <w:rPr>
          <w:rFonts w:ascii="仿宋_GB2312" w:eastAsia="仿宋_GB2312" w:hAnsi="Times New Roman" w:cs="Times New Roman" w:hint="eastAsia"/>
          <w:sz w:val="32"/>
          <w:szCs w:val="32"/>
        </w:rPr>
        <w:t>违建及违建</w:t>
      </w:r>
      <w:proofErr w:type="gramEnd"/>
      <w:r w:rsidRPr="007243AC">
        <w:rPr>
          <w:rFonts w:ascii="仿宋_GB2312" w:eastAsia="仿宋_GB2312" w:hAnsi="Times New Roman" w:cs="Times New Roman" w:hint="eastAsia"/>
          <w:sz w:val="32"/>
          <w:szCs w:val="32"/>
        </w:rPr>
        <w:t>拆</w:t>
      </w:r>
      <w:r w:rsidRPr="007243AC">
        <w:rPr>
          <w:rFonts w:ascii="仿宋_GB2312" w:eastAsia="仿宋_GB2312" w:hAnsi="Times New Roman" w:cs="Times New Roman" w:hint="eastAsia"/>
          <w:sz w:val="32"/>
          <w:szCs w:val="32"/>
        </w:rPr>
        <w:lastRenderedPageBreak/>
        <w:t>除造成的信访次数不高于3次。</w:t>
      </w:r>
    </w:p>
    <w:p w:rsidR="00A232FD" w:rsidRPr="007243AC" w:rsidRDefault="00A32DA3" w:rsidP="007243A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w:t>
      </w:r>
      <w:r w:rsidR="00E33AB9" w:rsidRPr="007243AC">
        <w:rPr>
          <w:rFonts w:ascii="仿宋_GB2312" w:eastAsia="仿宋_GB2312" w:hAnsi="Times New Roman" w:cs="Times New Roman" w:hint="eastAsia"/>
          <w:sz w:val="32"/>
          <w:szCs w:val="32"/>
        </w:rPr>
        <w:t>丰富基层群众文化生活</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 xml:space="preserve">绩效目标：以基层文化站免费开放为契机,通过举办文化惠民活动等工作,向社会公众提供并开展基本公共文化服务,满足基层人民群众的文化需求。 </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绩效指标：组织开展系列文化活动次数不少于5次；文化集中演出活动覆盖域内村街数量占域内总村街数量的比率应达到100%。</w:t>
      </w:r>
    </w:p>
    <w:p w:rsidR="00A232FD" w:rsidRPr="007243AC" w:rsidRDefault="00A32DA3" w:rsidP="007243AC">
      <w:pPr>
        <w:ind w:firstLineChars="200" w:firstLine="640"/>
        <w:rPr>
          <w:rFonts w:ascii="仿宋_GB2312" w:eastAsia="仿宋_GB2312" w:hAnsi="Times New Roman" w:cs="Times New Roman"/>
          <w:sz w:val="32"/>
          <w:szCs w:val="32"/>
        </w:rPr>
      </w:pPr>
      <w:r>
        <w:rPr>
          <w:rFonts w:ascii="仿宋_GB2312" w:eastAsia="仿宋_GB2312" w:hAnsi="Times New Roman" w:cs="Times New Roman"/>
          <w:sz w:val="32"/>
          <w:szCs w:val="32"/>
        </w:rPr>
        <w:t>4</w:t>
      </w:r>
      <w:r>
        <w:rPr>
          <w:rFonts w:ascii="仿宋_GB2312" w:eastAsia="仿宋_GB2312" w:hAnsi="Times New Roman" w:cs="Times New Roman" w:hint="eastAsia"/>
          <w:sz w:val="32"/>
          <w:szCs w:val="32"/>
        </w:rPr>
        <w:t>、</w:t>
      </w:r>
      <w:r w:rsidR="00E33AB9" w:rsidRPr="007243AC">
        <w:rPr>
          <w:rFonts w:ascii="仿宋_GB2312" w:eastAsia="仿宋_GB2312" w:hAnsi="Times New Roman" w:cs="Times New Roman" w:hint="eastAsia"/>
          <w:sz w:val="32"/>
          <w:szCs w:val="32"/>
        </w:rPr>
        <w:t>社会治理实现新突破</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绩效目标：持续降低信访压力，将矛盾化解在基层；加强是社会综合治理及扫黑除恶工作宣传工作；着力解决有偿征用土地建设垃圾点等土地补偿问题。</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绩效指标：信访矛盾化解率应达到100%；保障失地农民土地问题上访次数为零；垃圾点用地保障率为100%。</w:t>
      </w:r>
    </w:p>
    <w:p w:rsidR="00A232FD" w:rsidRPr="007243AC" w:rsidRDefault="00A32DA3" w:rsidP="007243AC">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w:t>
      </w:r>
      <w:r w:rsidR="00E33AB9" w:rsidRPr="007243AC">
        <w:rPr>
          <w:rFonts w:ascii="仿宋_GB2312" w:eastAsia="仿宋_GB2312" w:hAnsi="Times New Roman" w:cs="Times New Roman" w:hint="eastAsia"/>
          <w:sz w:val="32"/>
          <w:szCs w:val="32"/>
        </w:rPr>
        <w:t>加强基层党建工作</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绩效目标：持续加强基层党委和组织的建设，着力提升党员素质，加强基层党员、干部廉政、勤政教育，保障村级党组织正常运转，推动村党组织和村委会全面进步。</w:t>
      </w:r>
    </w:p>
    <w:p w:rsidR="00A232FD" w:rsidRPr="007243AC" w:rsidRDefault="00E33AB9" w:rsidP="007243AC">
      <w:pPr>
        <w:ind w:firstLineChars="200" w:firstLine="640"/>
        <w:rPr>
          <w:rFonts w:ascii="仿宋_GB2312" w:eastAsia="仿宋_GB2312" w:hAnsi="Times New Roman" w:cs="Times New Roman"/>
          <w:sz w:val="32"/>
          <w:szCs w:val="32"/>
        </w:rPr>
      </w:pPr>
      <w:r w:rsidRPr="007243AC">
        <w:rPr>
          <w:rFonts w:ascii="仿宋_GB2312" w:eastAsia="仿宋_GB2312" w:hAnsi="Times New Roman" w:cs="Times New Roman" w:hint="eastAsia"/>
          <w:sz w:val="32"/>
          <w:szCs w:val="32"/>
        </w:rPr>
        <w:t>绩效指标：年度内村级党组织正常运转率为100%。</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lastRenderedPageBreak/>
        <w:t>（三）工作保障</w:t>
      </w:r>
      <w:r>
        <w:rPr>
          <w:rFonts w:ascii="仿宋_GB2312" w:eastAsia="仿宋_GB2312" w:hAnsi="Times New Roman" w:cs="Times New Roman"/>
          <w:sz w:val="32"/>
          <w:szCs w:val="32"/>
        </w:rPr>
        <w:t>措施</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1、完善制度建设。制定完善预算绩效管理制度、资金管理办法、工作保障制度等，为全年预算绩效目标的实现奠定制度基础。</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2、加强支出管理。通过优化支出结构、编细编实预算、加快履行政府采购手续、尽快启动项目、及时支付资金、按规定及时拨付资金等多种措施，确保支出进度达标。</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3、加强绩效运行监控。按要求开展绩效运行监控，发现问题及时采取措施，确保绩效目标如期保质实现。</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4、做好绩效自评。按要求开展上年度部门预算绩效自评和重点评价工作，对评价中发现的问题及时整改，调整优化支出结构，提高财政资金使用效益。</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5、规范财务资产管理。完善财务管理制度，严格审批程序，加强固定资产登记、使用和报废处置管理，做到支出合理，物尽其用。</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6、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rsidR="00A232FD" w:rsidRDefault="00E33AB9">
      <w:pPr>
        <w:ind w:firstLineChars="200" w:firstLine="640"/>
        <w:rPr>
          <w:rFonts w:ascii="仿宋_GB2312" w:eastAsia="仿宋_GB2312" w:hAnsi="Times New Roman" w:cs="Times New Roman"/>
          <w:sz w:val="32"/>
          <w:szCs w:val="32"/>
        </w:rPr>
      </w:pPr>
      <w:r>
        <w:rPr>
          <w:rFonts w:ascii="仿宋_GB2312" w:eastAsia="仿宋_GB2312" w:hAnsi="Times New Roman" w:cs="Times New Roman" w:hint="eastAsia"/>
          <w:sz w:val="32"/>
          <w:szCs w:val="32"/>
        </w:rPr>
        <w:t>7、加强宣传培训调研等。加强人员培训，提高本部门职工业务素质；加强调研，提出优化</w:t>
      </w:r>
      <w:r>
        <w:rPr>
          <w:rFonts w:ascii="仿宋_GB2312" w:eastAsia="仿宋_GB2312" w:hAnsi="Times New Roman" w:cs="Times New Roman" w:hint="eastAsia"/>
          <w:sz w:val="32"/>
          <w:szCs w:val="32"/>
        </w:rPr>
        <w:lastRenderedPageBreak/>
        <w:t>财政资金配置、提高资金使用效益的意见建议；加大宣传力度，强化预算绩效管理意识，促进预算绩效管理水平进一步提升。</w:t>
      </w:r>
    </w:p>
    <w:p w:rsidR="00A232FD" w:rsidRDefault="00E33AB9">
      <w:pPr>
        <w:ind w:firstLineChars="200" w:firstLine="643"/>
        <w:rPr>
          <w:rFonts w:ascii="楷体_GB2312" w:eastAsia="楷体_GB2312" w:hAnsi="Times New Roman" w:cs="Times New Roman"/>
          <w:b/>
          <w:sz w:val="32"/>
          <w:szCs w:val="32"/>
        </w:rPr>
      </w:pPr>
      <w:r>
        <w:rPr>
          <w:rFonts w:ascii="楷体_GB2312" w:eastAsia="楷体_GB2312" w:hAnsi="Times New Roman" w:cs="Times New Roman" w:hint="eastAsia"/>
          <w:b/>
          <w:sz w:val="32"/>
          <w:szCs w:val="32"/>
        </w:rPr>
        <w:t>第二部分 预算项目</w:t>
      </w:r>
      <w:r>
        <w:rPr>
          <w:rFonts w:ascii="楷体_GB2312" w:eastAsia="楷体_GB2312" w:hAnsi="Times New Roman" w:cs="Times New Roman"/>
          <w:b/>
          <w:sz w:val="32"/>
          <w:szCs w:val="32"/>
        </w:rPr>
        <w:t>绩效目标</w:t>
      </w:r>
    </w:p>
    <w:bookmarkEnd w:id="1"/>
    <w:p w:rsidR="00A232FD" w:rsidRDefault="00E33AB9">
      <w:pPr>
        <w:ind w:firstLineChars="200" w:firstLine="562"/>
        <w:jc w:val="left"/>
        <w:outlineLvl w:val="1"/>
        <w:rPr>
          <w:rFonts w:hAnsi="宋体"/>
          <w:b/>
          <w:sz w:val="28"/>
        </w:rPr>
      </w:pPr>
      <w:r>
        <w:rPr>
          <w:rFonts w:ascii="方正仿宋_GBK" w:eastAsia="方正仿宋_GBK" w:hint="eastAsia"/>
          <w:b/>
          <w:sz w:val="28"/>
        </w:rPr>
        <w:t>1、病虫害防治项目资金绩效目标表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2" w:name="_Toc30350841"/>
      <w:r>
        <w:rPr>
          <w:rFonts w:ascii="方正仿宋_GBK" w:eastAsia="方正仿宋_GBK" w:hint="eastAsia"/>
          <w:b/>
          <w:sz w:val="28"/>
        </w:rPr>
        <w:instrText>1、病虫害防治项目资金绩效目标表</w:instrText>
      </w:r>
      <w:bookmarkEnd w:id="2"/>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1、通过对我镇域内重点地域地块林木全部进行药物喷洒防治，开展防治工作地域地块的林木的病虫害发病率得到有效控制，保障林业病虫害防治工作顺利开展。</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重点地域地块药物喷洒防治面积（亩）</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重点地域地块林木进行药物喷洒防治面积</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≥3000亩</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防治工作验收合格率（%）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通过验收的防治林地面积占防治林地面积总量的比率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病虫害防治工作按时完成率（%）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在相关时间节点前完成的工作量占总工作量的比率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成本控制价格</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预算成本与市场行情的比较</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≤15万元</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询价标准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开展防治工作地域地块林木病虫害发病率（%）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开展防治工作地域地块林木的病虫害发病面积占总面积的比率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≤5百分比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lastRenderedPageBreak/>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受益群体满意度（%）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调查中满意和较满意的受益群体人数占全部调查人数的比率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701" w:bottom="1304" w:left="1701"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2、村党组织活动经费（冀财预[2019]67号)绩效目标表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3" w:name="_Toc30350842"/>
      <w:r>
        <w:rPr>
          <w:rFonts w:ascii="方正仿宋_GBK" w:eastAsia="方正仿宋_GBK" w:hint="eastAsia"/>
          <w:b/>
          <w:sz w:val="28"/>
        </w:rPr>
        <w:instrText>2、村党组织活动经费（冀财预[2019]67号)绩效目标表</w:instrText>
      </w:r>
      <w:bookmarkEnd w:id="3"/>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1、我镇共36个村街，村党组活动经费共计44万元，保障村级组织正常运转，保障活动经费充足，推动农村基层党组织全面进步。</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发放补助的村民委员数量（</w:t>
            </w:r>
            <w:proofErr w:type="gramStart"/>
            <w:r>
              <w:rPr>
                <w:rFonts w:ascii="方正书宋_GBK" w:eastAsia="方正书宋_GBK" w:hint="eastAsia"/>
              </w:rPr>
              <w:t>个</w:t>
            </w:r>
            <w:proofErr w:type="gramEnd"/>
            <w:r>
              <w:rPr>
                <w:rFonts w:ascii="方正书宋_GBK" w:eastAsia="方正书宋_GBK" w:hint="eastAsia"/>
              </w:rPr>
              <w:t>）</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发放补助的村民委员会的总数量</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36个</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p w:rsidR="00A232FD" w:rsidRDefault="00A232FD">
            <w:pPr>
              <w:spacing w:line="300" w:lineRule="exact"/>
              <w:jc w:val="left"/>
              <w:rPr>
                <w:rFonts w:ascii="方正书宋_GBK" w:eastAsia="方正书宋_GBK"/>
              </w:rPr>
            </w:pP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补助金发放到位及时率(%)</w:t>
            </w:r>
            <w:r>
              <w:rPr>
                <w:rFonts w:ascii="方正书宋_GBK" w:eastAsia="方正书宋_GBK" w:hint="eastAsia"/>
              </w:rPr>
              <w:tab/>
            </w:r>
          </w:p>
          <w:p w:rsidR="00A232FD" w:rsidRDefault="00A232FD">
            <w:pPr>
              <w:spacing w:line="300" w:lineRule="exact"/>
              <w:jc w:val="left"/>
              <w:rPr>
                <w:rFonts w:ascii="方正书宋_GBK" w:eastAsia="方正书宋_GBK"/>
              </w:rPr>
            </w:pP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实际拨付的补助金金额占计划拨付金额的比率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p w:rsidR="00A232FD" w:rsidRDefault="00A232FD">
            <w:pPr>
              <w:spacing w:line="300" w:lineRule="exact"/>
              <w:jc w:val="left"/>
              <w:rPr>
                <w:rFonts w:ascii="方正书宋_GBK" w:eastAsia="方正书宋_GBK"/>
              </w:rPr>
            </w:pP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补助金按要求发放足额率（%）</w:t>
            </w:r>
            <w:r>
              <w:rPr>
                <w:rFonts w:ascii="方正书宋_GBK" w:eastAsia="方正书宋_GBK" w:hint="eastAsia"/>
              </w:rPr>
              <w:tab/>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按要求使用的补助资金发放足额比率</w:t>
            </w:r>
          </w:p>
          <w:p w:rsidR="00A232FD" w:rsidRDefault="00A232FD">
            <w:pPr>
              <w:spacing w:line="300" w:lineRule="exact"/>
              <w:jc w:val="left"/>
              <w:rPr>
                <w:rFonts w:ascii="方正书宋_GBK" w:eastAsia="方正书宋_GBK"/>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p w:rsidR="00A232FD" w:rsidRDefault="00A232FD">
            <w:pPr>
              <w:spacing w:line="300" w:lineRule="exact"/>
              <w:jc w:val="left"/>
              <w:rPr>
                <w:rFonts w:ascii="方正书宋_GBK" w:eastAsia="方正书宋_GBK"/>
              </w:rPr>
            </w:pP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村级组织正常运转率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年度内村级组织正常运转的比率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p w:rsidR="00A232FD" w:rsidRDefault="00A232FD">
            <w:pPr>
              <w:spacing w:line="300" w:lineRule="exact"/>
              <w:jc w:val="left"/>
              <w:rPr>
                <w:rFonts w:ascii="方正书宋_GBK" w:eastAsia="方正书宋_GBK"/>
              </w:rPr>
            </w:pP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村级组织服务基层能力提升情况</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当年村级组织服务基层能力提升情况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有所提升</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村党组满意度(%)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通过问卷调查,满意和较满意的占比</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3、村级组织办公经费（冀财预[2019]67号）绩效目标表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4" w:name="_Toc30350843"/>
      <w:r>
        <w:rPr>
          <w:rFonts w:ascii="方正仿宋_GBK" w:eastAsia="方正仿宋_GBK" w:hint="eastAsia"/>
          <w:b/>
          <w:sz w:val="28"/>
        </w:rPr>
        <w:instrText>3、村级组织办公经费（冀财预[2019]67号）绩效目标表</w:instrText>
      </w:r>
      <w:bookmarkEnd w:id="4"/>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1、我镇共36个村街，每村补贴村级办公经费3.5万元，保障村级组织正常运转，保障办公费用充足，推动农村基层党组织全面进步。</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发放补助的村民委员数量（</w:t>
            </w:r>
            <w:proofErr w:type="gramStart"/>
            <w:r>
              <w:rPr>
                <w:rFonts w:ascii="方正书宋_GBK" w:eastAsia="方正书宋_GBK" w:hint="eastAsia"/>
              </w:rPr>
              <w:t>个</w:t>
            </w:r>
            <w:proofErr w:type="gramEnd"/>
            <w:r>
              <w:rPr>
                <w:rFonts w:ascii="方正书宋_GBK" w:eastAsia="方正书宋_GBK" w:hint="eastAsia"/>
              </w:rPr>
              <w:t>）</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发放补助的村民委员会的总数量</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36个</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补助金发放到位及时率(%)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实际拨付的补助金金额占计划拨付金额的比率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100%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补助金按要求发放足额率（%）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按要求使用的补助资金发放足额比率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补助标准（万元）</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每个村补贴村级办公经费标准</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3.5万元</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河北省财政厅关于提前下达2020年省对下财力性转移支付的通知（冀财预[2019]67号)</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村级组织正常运转率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年度内村级组织正常运转的比率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村级组织服务基层能力提升情况</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当年村级组织服务基层能力提升情况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有所提升</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村民委员会满意度(%)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通过问卷调查,满意和较满意的占比情况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4、关于提前下达2020年省级“三馆一站”免费开放补助资金的通知(冀财教[2019]141号)绩效目标表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5" w:name="_Toc30350844"/>
      <w:r>
        <w:rPr>
          <w:rFonts w:ascii="方正仿宋_GBK" w:eastAsia="方正仿宋_GBK" w:hint="eastAsia"/>
          <w:b/>
          <w:sz w:val="28"/>
        </w:rPr>
        <w:instrText>4、关于提前下达2020年省级\“三馆一站\”免费开放补助资金的通知(冀财教[2019]141号)绩效目标表</w:instrText>
      </w:r>
      <w:bookmarkEnd w:id="5"/>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1、以基层文化站免费开放为契机，通过举办文化惠民活动等工作，向社会公众提供并开展基本公共文化服务，满足基层群众的文化需求，提升公共服务水平</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组织系列文化活动演出数量（次 ）</w:t>
            </w:r>
            <w:r>
              <w:rPr>
                <w:rFonts w:ascii="方正书宋_GBK" w:eastAsia="方正书宋_GBK" w:hint="eastAsia"/>
              </w:rPr>
              <w:tab/>
            </w:r>
          </w:p>
          <w:p w:rsidR="00A232FD" w:rsidRDefault="00A232FD">
            <w:pPr>
              <w:spacing w:line="300" w:lineRule="exact"/>
              <w:jc w:val="left"/>
              <w:rPr>
                <w:rFonts w:ascii="方正书宋_GBK" w:eastAsia="方正书宋_GBK"/>
              </w:rPr>
            </w:pP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组织开展系列文化活动次数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≥5次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文化演出活动覆盖率（%）</w:t>
            </w:r>
            <w:r>
              <w:rPr>
                <w:rFonts w:ascii="方正书宋_GBK" w:eastAsia="方正书宋_GBK" w:hint="eastAsia"/>
              </w:rPr>
              <w:tab/>
            </w:r>
          </w:p>
          <w:p w:rsidR="00A232FD" w:rsidRDefault="00A232FD">
            <w:pPr>
              <w:spacing w:line="300" w:lineRule="exact"/>
              <w:jc w:val="left"/>
              <w:rPr>
                <w:rFonts w:ascii="方正书宋_GBK" w:eastAsia="方正书宋_GBK"/>
              </w:rPr>
            </w:pP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文化演出活动覆盖域内村街数量占域内总村街数的比率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经济效益指标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p w:rsidR="00A232FD" w:rsidRDefault="00A232FD">
            <w:pPr>
              <w:spacing w:line="300" w:lineRule="exact"/>
              <w:jc w:val="left"/>
              <w:rPr>
                <w:rFonts w:ascii="方正书宋_GBK" w:eastAsia="方正书宋_GBK"/>
              </w:rPr>
            </w:pP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p w:rsidR="00A232FD" w:rsidRDefault="00A232FD">
            <w:pPr>
              <w:spacing w:line="300" w:lineRule="exact"/>
              <w:jc w:val="left"/>
              <w:rPr>
                <w:rFonts w:ascii="方正书宋_GBK" w:eastAsia="方正书宋_GBK"/>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有所提升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免费开放文化站正常运转比率</w:t>
            </w:r>
            <w:r>
              <w:rPr>
                <w:rFonts w:ascii="方正书宋_GBK" w:eastAsia="方正书宋_GBK" w:hint="eastAsia"/>
              </w:rPr>
              <w:tab/>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免费开放文化站正常运转比率</w:t>
            </w:r>
          </w:p>
          <w:p w:rsidR="00A232FD" w:rsidRDefault="00A232FD">
            <w:pPr>
              <w:spacing w:line="300" w:lineRule="exact"/>
              <w:jc w:val="left"/>
              <w:rPr>
                <w:rFonts w:ascii="方正书宋_GBK" w:eastAsia="方正书宋_GBK"/>
              </w:rPr>
            </w:pP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5、关于提前下达2020年中央补助地方美术馆公共图书馆 文化馆（站）免费开放补助资金预算的通知(冀财教[2019]118号)绩效目标表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6" w:name="_Toc30350845"/>
      <w:r>
        <w:rPr>
          <w:rFonts w:ascii="方正仿宋_GBK" w:eastAsia="方正仿宋_GBK" w:hint="eastAsia"/>
          <w:b/>
          <w:sz w:val="28"/>
        </w:rPr>
        <w:instrText>5、关于提前下达2020年中央补助地方美术馆公共图书馆</w:instrText>
      </w:r>
      <w:bookmarkEnd w:id="6"/>
      <w:r>
        <w:rPr>
          <w:rFonts w:ascii="方正仿宋_GBK" w:eastAsia="方正仿宋_GBK" w:hint="eastAsia"/>
          <w:b/>
          <w:sz w:val="28"/>
        </w:rPr>
        <w:instrText xml:space="preserve"> 文化馆（站）免费开放补助资金预算的通知(冀财教[2019]118号)绩效目标表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1、以基层文化站免费开放为契机，通过举办文化惠民活动等工作，向社会公众提供并开展基本公共文化服务，满足基层群众的文化需求，提升公共服务水平</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组织系列文化活动演出数量（次 ）</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组织开展系列文化活动次数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≥5次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文化演出活动覆盖率（%）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文化演出活动覆盖域内村街数量占域内总村街数的比率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完成率 </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按照计划完成的演出活动在应完成演出活动的比率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有所提升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免费开放文化站正常运转比率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免费开放文化站正常运转比率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群众满意度 </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群众对当年文化站免费开放服务的整体满意度</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6、河道综合整治资金绩效目标表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7" w:name="_Toc30350846"/>
      <w:r>
        <w:rPr>
          <w:rFonts w:ascii="方正仿宋_GBK" w:eastAsia="方正仿宋_GBK" w:hint="eastAsia"/>
          <w:b/>
          <w:sz w:val="28"/>
        </w:rPr>
        <w:instrText>6、河道综合整治资金绩效目标表</w:instrText>
      </w:r>
      <w:bookmarkEnd w:id="7"/>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1、通过重点对我镇域内相关河道、干支渠道进行垃圾、漂浮物、黑臭水体等进行治理，在汛期前完成全部工程，避免出现不畅情况发生，对防汛工作造成影响，河道内环境得到改善。</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河道综合治理工程量（</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河道综合治理工程量</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≥8750立方米</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治理工作验收合格率（%）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通过验收的治理工程量占治理工程总量的比率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汛期前工程完成率（%）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汛期前完成的工程量占总工程量的比率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政府采购招标控制价格</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政府采购招标控制价格与预算标准比较</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≤35万元</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预算标准</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河道垃圾等问题造成扬水站停运次数（次）</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汛期时因河道垃圾等河道治理问题造成扬水站停运次数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≤1次</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生态效益指标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河道水质指标数值情况</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河道水质指标监测情况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四类水质以上</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行业标准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河道水质监测排名情况</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县级河道水质监测排名较去年同期排名上升情况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≥1名</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受益人员满意度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调查中满意和较满意的受访群众人数占全部调查人数的比率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7、秸秆综合利用资金绩效目标表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8" w:name="_Toc30350847"/>
      <w:r>
        <w:rPr>
          <w:rFonts w:ascii="方正仿宋_GBK" w:eastAsia="方正仿宋_GBK" w:hint="eastAsia"/>
          <w:b/>
          <w:sz w:val="28"/>
        </w:rPr>
        <w:instrText>7、秸秆综合利用资金绩效目标表</w:instrText>
      </w:r>
      <w:bookmarkEnd w:id="8"/>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1、通过对“两高”、各主干道两侧及全镇进行秸秆综合利用土地工作，秸秆综合利用率应达到95%以上。以上较去年同期着火点数量减少2个以上。</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秸秆综合利用作业工程量（立方米）</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全年实施秸秆综合利用作业工程量</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≥8889亩</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秸秆综合利用工作验收合格率（%）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通过验收的秸秆综合利用工程量占综合利用工程总量的比率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按时完成率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各项工作按时完成情况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政府采购招标控制价格</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政府采购招标控制价格与预算标准比较</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≤40万元</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预算标准</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生态效益指标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实行秸秆综合利用地域着火点减少数量（</w:t>
            </w:r>
            <w:proofErr w:type="gramStart"/>
            <w:r>
              <w:rPr>
                <w:rFonts w:ascii="方正书宋_GBK" w:eastAsia="方正书宋_GBK" w:hint="eastAsia"/>
              </w:rPr>
              <w:t>个</w:t>
            </w:r>
            <w:proofErr w:type="gramEnd"/>
            <w:r>
              <w:rPr>
                <w:rFonts w:ascii="方正书宋_GBK" w:eastAsia="方正书宋_GBK" w:hint="eastAsia"/>
              </w:rPr>
              <w:t>）</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实行秸秆综合利用地域着火点较去年同期着火点减少数量</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≥2个</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秸秆综合利用率（%）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全镇进行秸秆综合利用土地占全镇土地面积的比率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政策标准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受益部门人员满意度（%）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调查中满意和较满意的受益部门人员人数占全部调查人数的比率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8、两违拆除经费绩效目标表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9" w:name="_Toc30350848"/>
      <w:r>
        <w:rPr>
          <w:rFonts w:ascii="方正仿宋_GBK" w:eastAsia="方正仿宋_GBK" w:hint="eastAsia"/>
          <w:b/>
          <w:sz w:val="28"/>
        </w:rPr>
        <w:instrText>8、两违拆除经费绩效目标表</w:instrText>
      </w:r>
      <w:bookmarkEnd w:id="9"/>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1、通过违章建筑、违法占地拆除整改，消除违法状态，减少因</w:t>
            </w:r>
            <w:proofErr w:type="gramStart"/>
            <w:r>
              <w:rPr>
                <w:rFonts w:ascii="方正书宋_GBK" w:eastAsia="方正书宋_GBK" w:hint="eastAsia"/>
              </w:rPr>
              <w:t>违建及违建</w:t>
            </w:r>
            <w:proofErr w:type="gramEnd"/>
            <w:r>
              <w:rPr>
                <w:rFonts w:ascii="方正书宋_GBK" w:eastAsia="方正书宋_GBK" w:hint="eastAsia"/>
              </w:rPr>
              <w:t>拆除造成的信访问题，将信访矛盾化解在基层，农村人居环境得到部分改善。</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两违拆除面积</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违章建筑、违法占地拆除面积</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≥3525平方米</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拆除工程验收合格率（%）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通过验收的两违拆除工程量占计划两违拆除工程总量的比率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工程整体完成时间</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工程完成并验收合格时间</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≤10月份</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两违拆除覆盖率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违章建筑、违法占地拆除面积占计划拆除面积的比率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信访次数</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因</w:t>
            </w:r>
            <w:proofErr w:type="gramStart"/>
            <w:r>
              <w:rPr>
                <w:rFonts w:ascii="方正书宋_GBK" w:eastAsia="方正书宋_GBK" w:hint="eastAsia"/>
              </w:rPr>
              <w:t>违建及违建</w:t>
            </w:r>
            <w:proofErr w:type="gramEnd"/>
            <w:r>
              <w:rPr>
                <w:rFonts w:ascii="方正书宋_GBK" w:eastAsia="方正书宋_GBK" w:hint="eastAsia"/>
              </w:rPr>
              <w:t>拆除造成的信访次数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≤3次</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proofErr w:type="gramStart"/>
            <w:r>
              <w:rPr>
                <w:rFonts w:ascii="方正书宋_GBK" w:eastAsia="方正书宋_GBK" w:hint="eastAsia"/>
              </w:rPr>
              <w:t>违建周围</w:t>
            </w:r>
            <w:proofErr w:type="gramEnd"/>
            <w:r>
              <w:rPr>
                <w:rFonts w:ascii="方正书宋_GBK" w:eastAsia="方正书宋_GBK" w:hint="eastAsia"/>
              </w:rPr>
              <w:t>群众满意度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proofErr w:type="gramStart"/>
            <w:r>
              <w:rPr>
                <w:rFonts w:ascii="方正书宋_GBK" w:eastAsia="方正书宋_GBK" w:hint="eastAsia"/>
              </w:rPr>
              <w:t>违建周围</w:t>
            </w:r>
            <w:proofErr w:type="gramEnd"/>
            <w:r>
              <w:rPr>
                <w:rFonts w:ascii="方正书宋_GBK" w:eastAsia="方正书宋_GBK" w:hint="eastAsia"/>
              </w:rPr>
              <w:t>表示满意的居民数量占总调查局</w:t>
            </w:r>
            <w:proofErr w:type="gramStart"/>
            <w:r>
              <w:rPr>
                <w:rFonts w:ascii="方正书宋_GBK" w:eastAsia="方正书宋_GBK" w:hint="eastAsia"/>
              </w:rPr>
              <w:t>民数量</w:t>
            </w:r>
            <w:proofErr w:type="gramEnd"/>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9、堂二里镇镇区路灯运行维护经费绩效目标表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10" w:name="_Toc30350849"/>
      <w:r>
        <w:rPr>
          <w:rFonts w:ascii="方正仿宋_GBK" w:eastAsia="方正仿宋_GBK" w:hint="eastAsia"/>
          <w:b/>
          <w:sz w:val="28"/>
        </w:rPr>
        <w:instrText>9、堂二里镇镇区路灯运行维护经费绩效目标表</w:instrText>
      </w:r>
      <w:bookmarkEnd w:id="10"/>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1、此项目保障堂二里镇路灯正常使用，至少保障90%以上路灯完好，每天夜间照明保证8个小时以上，保障每15盏路灯损坏时得到及时维修，减少夜间道路交通事故，保障过往车辆以及行人生命安全。</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保障路灯使用率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路灯的实际运行的数量不得低于路灯总数量的90%</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路灯照明时间</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每天路灯夜间照明时间不少于规定时间</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≥8小时</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路灯发生故障的维修响应时间</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每15盏路灯损坏时得到及时维修</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每达到15盏路灯损坏时24小时内维修完毕</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A232FD">
            <w:pPr>
              <w:spacing w:line="300" w:lineRule="exact"/>
              <w:jc w:val="left"/>
              <w:rPr>
                <w:rFonts w:ascii="方正书宋_GBK" w:eastAsia="方正书宋_GBK"/>
              </w:rPr>
            </w:pP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减少夜间事故发生</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夜间交通事故的发生比上年度同期减少</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≥2起</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受益对象满意度(%)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通过问卷调查，满意和较满意的受益对象占全部调研对象的比例</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10、文化站免费开放县级资金绩效目标表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11" w:name="_Toc30350850"/>
      <w:r>
        <w:rPr>
          <w:rFonts w:ascii="方正仿宋_GBK" w:eastAsia="方正仿宋_GBK" w:hint="eastAsia"/>
          <w:b/>
          <w:sz w:val="28"/>
        </w:rPr>
        <w:instrText>10、文化站免费开放县级资金绩效目标表</w:instrText>
      </w:r>
      <w:bookmarkEnd w:id="11"/>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1、以基层文化站免费开放为契机，通过举办文化惠民活动等工作，向社会公众提供并开展基本公共文化服务，满足基层群众的文化需求，提升公共服务水平</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组织系列文化活动演出数量（次 ）</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组织开展系列文化活动次数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≥5次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文化演出活动覆盖率（%）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文化演出活动覆盖域内村街数量占域内总村街数的比率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完成率 </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按照计划完成的演出活动在应完成演出活动的比率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基层文化站免费开放工作对基层文化需求和公共服务水平的提升情况</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有所提升 </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可持续影响指标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免费开放文化站正常运转比率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免费开放文化站正常运转比率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≥95%</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 xml:space="preserve">计划标准 </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受益群众对免费开放场馆（站）服务的满意度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受益群众对免费开放场馆（站）服务的满意度</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≥90%</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计划指标</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11、信访</w:t>
      </w:r>
      <w:proofErr w:type="gramStart"/>
      <w:r>
        <w:rPr>
          <w:rFonts w:ascii="方正仿宋_GBK" w:eastAsia="方正仿宋_GBK" w:hint="eastAsia"/>
          <w:b/>
          <w:sz w:val="28"/>
        </w:rPr>
        <w:t>维稳工作</w:t>
      </w:r>
      <w:proofErr w:type="gramEnd"/>
      <w:r>
        <w:rPr>
          <w:rFonts w:ascii="方正仿宋_GBK" w:eastAsia="方正仿宋_GBK" w:hint="eastAsia"/>
          <w:b/>
          <w:sz w:val="28"/>
        </w:rPr>
        <w:t>经费绩效目标表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12" w:name="_Toc30350851"/>
      <w:r>
        <w:rPr>
          <w:rFonts w:ascii="方正仿宋_GBK" w:eastAsia="方正仿宋_GBK" w:hint="eastAsia"/>
          <w:b/>
          <w:sz w:val="28"/>
        </w:rPr>
        <w:instrText>11、信访维稳工作经费绩效目标表</w:instrText>
      </w:r>
      <w:bookmarkEnd w:id="12"/>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1、通过定期</w:t>
            </w:r>
            <w:proofErr w:type="gramStart"/>
            <w:r>
              <w:rPr>
                <w:rFonts w:ascii="方正书宋_GBK" w:eastAsia="方正书宋_GBK" w:hint="eastAsia"/>
              </w:rPr>
              <w:t>开展维稳执勤</w:t>
            </w:r>
            <w:proofErr w:type="gramEnd"/>
            <w:r>
              <w:rPr>
                <w:rFonts w:ascii="方正书宋_GBK" w:eastAsia="方正书宋_GBK" w:hint="eastAsia"/>
              </w:rPr>
              <w:t>工作，减少进京上访事件发生，维护乡镇社会秩序稳定和谐。</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4"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重大安保任务完成率（%）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完成的安保任务占总任务总数的比率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化解成功率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完成的信访案化解成功比率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成本指标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人均进京化解成本</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每人每天进京化解信访事件成本</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≤680元</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proofErr w:type="gramStart"/>
            <w:r>
              <w:rPr>
                <w:rFonts w:ascii="方正书宋_GBK" w:eastAsia="方正书宋_GBK" w:hint="eastAsia"/>
              </w:rPr>
              <w:t>涉稳舆情</w:t>
            </w:r>
            <w:proofErr w:type="gramEnd"/>
            <w:r>
              <w:rPr>
                <w:rFonts w:ascii="方正书宋_GBK" w:eastAsia="方正书宋_GBK" w:hint="eastAsia"/>
              </w:rPr>
              <w:t>处置率（%）</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处置</w:t>
            </w:r>
            <w:proofErr w:type="gramStart"/>
            <w:r>
              <w:rPr>
                <w:rFonts w:ascii="方正书宋_GBK" w:eastAsia="方正书宋_GBK" w:hint="eastAsia"/>
              </w:rPr>
              <w:t>的涉稳舆情</w:t>
            </w:r>
            <w:proofErr w:type="gramEnd"/>
            <w:r>
              <w:rPr>
                <w:rFonts w:ascii="方正书宋_GBK" w:eastAsia="方正书宋_GBK" w:hint="eastAsia"/>
              </w:rPr>
              <w:t>数</w:t>
            </w:r>
            <w:proofErr w:type="gramStart"/>
            <w:r>
              <w:rPr>
                <w:rFonts w:ascii="方正书宋_GBK" w:eastAsia="方正书宋_GBK" w:hint="eastAsia"/>
              </w:rPr>
              <w:t>占涉稳</w:t>
            </w:r>
            <w:proofErr w:type="gramEnd"/>
            <w:r>
              <w:rPr>
                <w:rFonts w:ascii="方正书宋_GBK" w:eastAsia="方正书宋_GBK" w:hint="eastAsia"/>
              </w:rPr>
              <w:t>舆情总数的比率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4"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w:t>
            </w:r>
          </w:p>
        </w:tc>
        <w:tc>
          <w:tcPr>
            <w:tcW w:w="289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满意和较满意的上访群众占被调查上访群众的比率</w:t>
            </w:r>
          </w:p>
        </w:tc>
        <w:tc>
          <w:tcPr>
            <w:tcW w:w="1276"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≥70百分比</w:t>
            </w:r>
          </w:p>
        </w:tc>
        <w:tc>
          <w:tcPr>
            <w:tcW w:w="1701"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232FD" w:rsidRDefault="00A232FD">
      <w:pPr>
        <w:widowControl/>
        <w:jc w:val="left"/>
        <w:sectPr w:rsidR="00A232FD" w:rsidSect="007243AC">
          <w:pgSz w:w="16839" w:h="11907" w:orient="landscape"/>
          <w:pgMar w:top="1304" w:right="1985" w:bottom="1304" w:left="1134" w:header="851" w:footer="992" w:gutter="0"/>
          <w:cols w:space="720"/>
          <w:docGrid w:type="linesAndChars" w:linePitch="312"/>
        </w:sectPr>
      </w:pPr>
    </w:p>
    <w:p w:rsidR="00A232FD" w:rsidRDefault="00A232FD">
      <w:pPr>
        <w:spacing w:line="300" w:lineRule="exact"/>
        <w:ind w:firstLineChars="200" w:firstLine="420"/>
        <w:jc w:val="left"/>
      </w:pPr>
    </w:p>
    <w:p w:rsidR="00A232FD" w:rsidRDefault="00E33AB9">
      <w:pPr>
        <w:ind w:firstLineChars="200" w:firstLine="562"/>
        <w:jc w:val="left"/>
        <w:outlineLvl w:val="1"/>
        <w:rPr>
          <w:rFonts w:hAnsi="宋体"/>
          <w:b/>
          <w:sz w:val="28"/>
        </w:rPr>
      </w:pPr>
      <w:r>
        <w:rPr>
          <w:rFonts w:ascii="方正仿宋_GBK" w:eastAsia="方正仿宋_GBK" w:hint="eastAsia"/>
          <w:b/>
          <w:sz w:val="28"/>
        </w:rPr>
        <w:t>12、政府占地土地补偿资金绩效目标表</w:t>
      </w:r>
      <w:r w:rsidR="0070556F">
        <w:rPr>
          <w:rFonts w:ascii="方正仿宋_GBK" w:eastAsia="方正仿宋_GBK" w:hint="eastAsia"/>
          <w:b/>
          <w:sz w:val="28"/>
        </w:rPr>
        <w:fldChar w:fldCharType="begin"/>
      </w:r>
      <w:r>
        <w:rPr>
          <w:rFonts w:ascii="方正仿宋_GBK" w:eastAsia="方正仿宋_GBK" w:hint="eastAsia"/>
          <w:b/>
          <w:sz w:val="28"/>
        </w:rPr>
        <w:instrText xml:space="preserve"> TC </w:instrText>
      </w:r>
      <w:bookmarkStart w:id="13" w:name="_Toc30350852"/>
      <w:r>
        <w:rPr>
          <w:rFonts w:ascii="方正仿宋_GBK" w:eastAsia="方正仿宋_GBK" w:hint="eastAsia"/>
          <w:b/>
          <w:sz w:val="28"/>
        </w:rPr>
        <w:instrText>12、政府占地土地补偿资金绩效目标表</w:instrText>
      </w:r>
      <w:bookmarkEnd w:id="13"/>
      <w:r>
        <w:rPr>
          <w:rFonts w:ascii="方正仿宋_GBK" w:eastAsia="方正仿宋_GBK" w:hint="eastAsia"/>
          <w:b/>
          <w:sz w:val="28"/>
        </w:rPr>
        <w:instrText xml:space="preserve"> \f C \l 1 </w:instrText>
      </w:r>
      <w:r w:rsidR="0070556F">
        <w:rPr>
          <w:rFonts w:ascii="方正仿宋_GBK" w:eastAsia="方正仿宋_GBK" w:hint="eastAsia"/>
          <w:b/>
          <w:sz w:val="28"/>
        </w:rPr>
        <w:fldChar w:fldCharType="end"/>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8272"/>
      </w:tblGrid>
      <w:tr w:rsidR="00A232FD">
        <w:trPr>
          <w:trHeight w:val="369"/>
          <w:jc w:val="center"/>
        </w:trPr>
        <w:tc>
          <w:tcPr>
            <w:tcW w:w="1133"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绩效目标</w:t>
            </w:r>
          </w:p>
        </w:tc>
        <w:tc>
          <w:tcPr>
            <w:tcW w:w="8272" w:type="dxa"/>
            <w:tcBorders>
              <w:top w:val="single" w:sz="6" w:space="0" w:color="000000"/>
              <w:left w:val="single" w:sz="6" w:space="0" w:color="000000"/>
              <w:bottom w:val="nil"/>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1、通过该项补偿，维护农民的合法权益，保障农民利益不受损害，维护农村社会稳定，保障堂二里项目建设用地。</w:t>
            </w:r>
          </w:p>
        </w:tc>
      </w:tr>
    </w:tbl>
    <w:p w:rsidR="00A232FD" w:rsidRDefault="00E33AB9">
      <w:pPr>
        <w:spacing w:line="14" w:lineRule="exact"/>
        <w:ind w:firstLineChars="200" w:firstLine="420"/>
        <w:jc w:val="center"/>
        <w:rPr>
          <w:rFonts w:hAnsi="宋体"/>
        </w:rPr>
      </w:pPr>
      <w:r>
        <w:rPr>
          <w:rFonts w:ascii="方正书宋_GBK" w:eastAsia="方正书宋_GBK" w:hint="eastAsia"/>
        </w:rPr>
        <w:t xml:space="preserve"> </w:t>
      </w:r>
    </w:p>
    <w:tbl>
      <w:tblPr>
        <w:tblW w:w="940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1133"/>
        <w:gridCol w:w="1133"/>
        <w:gridCol w:w="1275"/>
        <w:gridCol w:w="2889"/>
        <w:gridCol w:w="1275"/>
        <w:gridCol w:w="1700"/>
      </w:tblGrid>
      <w:tr w:rsidR="00A232FD">
        <w:trPr>
          <w:cantSplit/>
          <w:trHeight w:val="397"/>
          <w:tblHeader/>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一级指标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二级指标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三级指标</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绩效指标描述</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b/>
              </w:rPr>
            </w:pPr>
            <w:r>
              <w:rPr>
                <w:rFonts w:ascii="方正书宋_GBK" w:eastAsia="方正书宋_GBK" w:hint="eastAsia"/>
                <w:b/>
              </w:rPr>
              <w:t>指标值确定依据</w:t>
            </w:r>
          </w:p>
        </w:tc>
      </w:tr>
      <w:tr w:rsidR="00A232FD">
        <w:trPr>
          <w:cantSplit/>
          <w:trHeight w:val="369"/>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产出指标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补偿土地的数量</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实际补偿土地的亩数</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37.37亩</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历史标准</w:t>
            </w:r>
          </w:p>
        </w:tc>
      </w:tr>
      <w:tr w:rsidR="00A232FD">
        <w:trPr>
          <w:cantSplit/>
          <w:trHeight w:val="369"/>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数量指标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垃圾处理站</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垃圾处理站点数量</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1座</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历史标准</w:t>
            </w:r>
          </w:p>
        </w:tc>
      </w:tr>
      <w:tr w:rsidR="00A232FD">
        <w:trPr>
          <w:cantSplit/>
          <w:trHeight w:val="369"/>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质量指标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及时</w:t>
            </w:r>
            <w:proofErr w:type="gramStart"/>
            <w:r>
              <w:rPr>
                <w:rFonts w:ascii="方正书宋_GBK" w:eastAsia="方正书宋_GBK" w:hint="eastAsia"/>
              </w:rPr>
              <w:t>足额率</w:t>
            </w:r>
            <w:proofErr w:type="gramEnd"/>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及时足额发放土地补偿金</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时效指标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补偿资金发放及时情况</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补偿资金发放及时情况</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≤9月份</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3" w:type="dxa"/>
            <w:vMerge w:val="restart"/>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效果指标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失地农民上访次数</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"失地农民因土地问题上访次数</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0次</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3" w:type="dxa"/>
            <w:vMerge/>
            <w:tcBorders>
              <w:top w:val="single" w:sz="6" w:space="0" w:color="000000"/>
              <w:left w:val="single" w:sz="6" w:space="0" w:color="000000"/>
              <w:bottom w:val="single" w:sz="6" w:space="0" w:color="000000"/>
              <w:right w:val="single" w:sz="6" w:space="0" w:color="000000"/>
            </w:tcBorders>
            <w:vAlign w:val="center"/>
          </w:tcPr>
          <w:p w:rsidR="00A232FD" w:rsidRDefault="00A232FD">
            <w:pPr>
              <w:widowControl/>
              <w:jc w:val="left"/>
              <w:rPr>
                <w:rFonts w:ascii="方正书宋_GBK" w:eastAsia="方正书宋_GBK"/>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社会效益指标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用地保障率</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垃圾站用地保障率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100%</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r w:rsidR="00A232FD">
        <w:trPr>
          <w:cantSplit/>
          <w:trHeight w:val="369"/>
          <w:jc w:val="center"/>
        </w:trPr>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center"/>
              <w:rPr>
                <w:rFonts w:ascii="方正书宋_GBK" w:eastAsia="方正书宋_GBK"/>
              </w:rPr>
            </w:pPr>
            <w:r>
              <w:rPr>
                <w:rFonts w:ascii="方正书宋_GBK" w:eastAsia="方正书宋_GBK" w:hint="eastAsia"/>
              </w:rPr>
              <w:t>满意度指标</w:t>
            </w:r>
          </w:p>
        </w:tc>
        <w:tc>
          <w:tcPr>
            <w:tcW w:w="1133"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服务对象满意度指标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失地农民满意度</w:t>
            </w:r>
          </w:p>
        </w:tc>
        <w:tc>
          <w:tcPr>
            <w:tcW w:w="2889"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调查中受益对象满意和较满意的数量占调查总人数的比率</w:t>
            </w:r>
          </w:p>
        </w:tc>
        <w:tc>
          <w:tcPr>
            <w:tcW w:w="1275"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≥85%</w:t>
            </w:r>
          </w:p>
        </w:tc>
        <w:tc>
          <w:tcPr>
            <w:tcW w:w="1700" w:type="dxa"/>
            <w:tcBorders>
              <w:top w:val="single" w:sz="6" w:space="0" w:color="000000"/>
              <w:left w:val="single" w:sz="6" w:space="0" w:color="000000"/>
              <w:bottom w:val="single" w:sz="6" w:space="0" w:color="000000"/>
              <w:right w:val="single" w:sz="6" w:space="0" w:color="000000"/>
            </w:tcBorders>
            <w:vAlign w:val="center"/>
          </w:tcPr>
          <w:p w:rsidR="00A232FD" w:rsidRDefault="00E33AB9">
            <w:pPr>
              <w:spacing w:line="300" w:lineRule="exact"/>
              <w:jc w:val="left"/>
              <w:rPr>
                <w:rFonts w:ascii="方正书宋_GBK" w:eastAsia="方正书宋_GBK"/>
              </w:rPr>
            </w:pPr>
            <w:r>
              <w:rPr>
                <w:rFonts w:ascii="方正书宋_GBK" w:eastAsia="方正书宋_GBK" w:hint="eastAsia"/>
              </w:rPr>
              <w:t>计划标准</w:t>
            </w:r>
          </w:p>
        </w:tc>
      </w:tr>
    </w:tbl>
    <w:p w:rsidR="00A32DA3" w:rsidRDefault="00A32DA3">
      <w:pPr>
        <w:ind w:firstLineChars="200" w:firstLine="640"/>
        <w:rPr>
          <w:rFonts w:ascii="黑体" w:eastAsia="黑体" w:hAnsi="黑体" w:cs="Times New Roman"/>
          <w:sz w:val="32"/>
          <w:szCs w:val="32"/>
        </w:rPr>
      </w:pPr>
    </w:p>
    <w:p w:rsidR="00A32DA3" w:rsidRDefault="00A32DA3">
      <w:pPr>
        <w:ind w:firstLineChars="200" w:firstLine="640"/>
        <w:rPr>
          <w:rFonts w:ascii="黑体" w:eastAsia="黑体" w:hAnsi="黑体" w:cs="Times New Roman"/>
          <w:sz w:val="32"/>
          <w:szCs w:val="32"/>
        </w:rPr>
      </w:pPr>
    </w:p>
    <w:p w:rsidR="00A232FD" w:rsidRDefault="00E33AB9">
      <w:pPr>
        <w:ind w:firstLineChars="200" w:firstLine="640"/>
        <w:rPr>
          <w:rFonts w:ascii="黑体" w:eastAsia="黑体" w:hAnsi="黑体" w:cs="Times New Roman"/>
          <w:sz w:val="32"/>
          <w:szCs w:val="32"/>
        </w:rPr>
      </w:pPr>
      <w:bookmarkStart w:id="14" w:name="_GoBack"/>
      <w:bookmarkEnd w:id="14"/>
      <w:r>
        <w:rPr>
          <w:rFonts w:ascii="黑体" w:eastAsia="黑体" w:hAnsi="黑体" w:cs="Times New Roman" w:hint="eastAsia"/>
          <w:sz w:val="32"/>
          <w:szCs w:val="32"/>
        </w:rPr>
        <w:t>六、政府采购预算情况</w:t>
      </w:r>
    </w:p>
    <w:p w:rsidR="00A232FD" w:rsidRDefault="00E33AB9">
      <w:pPr>
        <w:ind w:firstLineChars="200" w:firstLine="640"/>
        <w:rPr>
          <w:rFonts w:ascii="仿宋_GB2312" w:eastAsia="仿宋_GB2312" w:hAnsi="Times New Roman" w:cs="Times New Roman"/>
          <w:sz w:val="32"/>
          <w:szCs w:val="32"/>
        </w:rPr>
      </w:pPr>
      <w:bookmarkStart w:id="15" w:name="_Toc471398468"/>
      <w:r>
        <w:rPr>
          <w:rFonts w:ascii="仿宋_GB2312" w:eastAsia="仿宋_GB2312" w:hAnsi="Times New Roman" w:cs="Times New Roman" w:hint="eastAsia"/>
          <w:sz w:val="32"/>
          <w:szCs w:val="32"/>
        </w:rPr>
        <w:t>20</w:t>
      </w:r>
      <w:r>
        <w:rPr>
          <w:rFonts w:ascii="仿宋_GB2312" w:eastAsia="仿宋_GB2312" w:hAnsi="Times New Roman" w:cs="Times New Roman"/>
          <w:sz w:val="32"/>
          <w:szCs w:val="32"/>
        </w:rPr>
        <w:t>20</w:t>
      </w:r>
      <w:r>
        <w:rPr>
          <w:rFonts w:ascii="仿宋_GB2312" w:eastAsia="仿宋_GB2312" w:hAnsi="Times New Roman" w:cs="Times New Roman" w:hint="eastAsia"/>
          <w:sz w:val="32"/>
          <w:szCs w:val="32"/>
        </w:rPr>
        <w:t>年，</w:t>
      </w:r>
      <w:proofErr w:type="gramStart"/>
      <w:r>
        <w:rPr>
          <w:rFonts w:ascii="仿宋_GB2312" w:eastAsia="仿宋_GB2312" w:hAnsi="Times New Roman" w:cs="Times New Roman" w:hint="eastAsia"/>
          <w:sz w:val="32"/>
          <w:szCs w:val="32"/>
        </w:rPr>
        <w:t>我部门</w:t>
      </w:r>
      <w:proofErr w:type="gramEnd"/>
      <w:r>
        <w:rPr>
          <w:rFonts w:ascii="仿宋_GB2312" w:eastAsia="仿宋_GB2312" w:hAnsi="Times New Roman" w:cs="Times New Roman" w:hint="eastAsia"/>
          <w:sz w:val="32"/>
          <w:szCs w:val="32"/>
        </w:rPr>
        <w:t>安排政府采购预算</w:t>
      </w:r>
      <w:r w:rsidR="00D70249">
        <w:rPr>
          <w:rFonts w:ascii="仿宋_GB2312" w:eastAsia="仿宋_GB2312" w:hAnsi="Times New Roman" w:cs="Times New Roman" w:hint="eastAsia"/>
          <w:sz w:val="32"/>
          <w:szCs w:val="32"/>
        </w:rPr>
        <w:t>111</w:t>
      </w:r>
      <w:r>
        <w:rPr>
          <w:rFonts w:ascii="仿宋_GB2312" w:eastAsia="仿宋_GB2312" w:hAnsi="Times New Roman" w:cs="Times New Roman" w:hint="eastAsia"/>
          <w:sz w:val="32"/>
          <w:szCs w:val="32"/>
        </w:rPr>
        <w:t>.92万元。具体内容见下表。</w:t>
      </w:r>
    </w:p>
    <w:p w:rsidR="00A232FD" w:rsidRDefault="00E33AB9">
      <w:pPr>
        <w:jc w:val="center"/>
        <w:outlineLvl w:val="0"/>
        <w:rPr>
          <w:rFonts w:ascii="方正小标宋_GBK" w:eastAsia="方正小标宋_GBK" w:hAnsi="Times New Roman" w:cs="Times New Roman"/>
          <w:sz w:val="32"/>
          <w:szCs w:val="24"/>
        </w:rPr>
      </w:pPr>
      <w:r>
        <w:rPr>
          <w:rFonts w:ascii="方正小标宋_GBK" w:eastAsia="方正小标宋_GBK" w:hAnsi="Times New Roman" w:cs="Times New Roman" w:hint="eastAsia"/>
          <w:sz w:val="32"/>
          <w:szCs w:val="24"/>
        </w:rPr>
        <w:lastRenderedPageBreak/>
        <w:t>部门政府采购预算</w:t>
      </w:r>
      <w:bookmarkEnd w:id="15"/>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2054"/>
        <w:gridCol w:w="931"/>
        <w:gridCol w:w="1171"/>
        <w:gridCol w:w="1391"/>
        <w:gridCol w:w="747"/>
        <w:gridCol w:w="624"/>
        <w:gridCol w:w="867"/>
        <w:gridCol w:w="909"/>
        <w:gridCol w:w="909"/>
        <w:gridCol w:w="1001"/>
        <w:gridCol w:w="833"/>
        <w:gridCol w:w="833"/>
        <w:gridCol w:w="833"/>
        <w:gridCol w:w="833"/>
      </w:tblGrid>
      <w:tr w:rsidR="00A232FD" w:rsidTr="00D70249">
        <w:trPr>
          <w:tblHeader/>
          <w:jc w:val="center"/>
        </w:trPr>
        <w:tc>
          <w:tcPr>
            <w:tcW w:w="2793" w:type="pct"/>
            <w:gridSpan w:val="7"/>
            <w:tcBorders>
              <w:top w:val="single" w:sz="6" w:space="0" w:color="FFFFFF"/>
              <w:left w:val="single" w:sz="6" w:space="0" w:color="FFFFFF"/>
              <w:right w:val="single" w:sz="6" w:space="0" w:color="FFFFFF"/>
            </w:tcBorders>
            <w:shd w:val="clear" w:color="auto" w:fill="auto"/>
            <w:vAlign w:val="center"/>
          </w:tcPr>
          <w:p w:rsidR="00A232FD" w:rsidRDefault="00E33AB9">
            <w:pPr>
              <w:spacing w:line="300" w:lineRule="exact"/>
              <w:jc w:val="left"/>
              <w:rPr>
                <w:rFonts w:ascii="方正小标宋_GBK" w:eastAsia="方正小标宋_GBK" w:hAnsi="Times New Roman" w:cs="Times New Roman"/>
                <w:sz w:val="24"/>
                <w:szCs w:val="24"/>
              </w:rPr>
            </w:pPr>
            <w:r>
              <w:rPr>
                <w:rFonts w:ascii="方正小标宋_GBK" w:eastAsia="方正小标宋_GBK" w:hAnsi="Times New Roman" w:cs="Times New Roman" w:hint="eastAsia"/>
                <w:sz w:val="18"/>
                <w:szCs w:val="18"/>
              </w:rPr>
              <w:t>9</w:t>
            </w:r>
            <w:r>
              <w:rPr>
                <w:rFonts w:ascii="方正小标宋_GBK" w:eastAsia="方正小标宋_GBK" w:hAnsi="Times New Roman" w:cs="Times New Roman"/>
                <w:sz w:val="18"/>
                <w:szCs w:val="18"/>
              </w:rPr>
              <w:t>53</w:t>
            </w:r>
            <w:r>
              <w:rPr>
                <w:rFonts w:ascii="方正小标宋_GBK" w:eastAsia="方正小标宋_GBK" w:hAnsi="Times New Roman" w:cs="Times New Roman" w:hint="eastAsia"/>
                <w:sz w:val="18"/>
                <w:szCs w:val="18"/>
              </w:rPr>
              <w:t>）霸州市堂二里镇</w:t>
            </w:r>
          </w:p>
        </w:tc>
        <w:tc>
          <w:tcPr>
            <w:tcW w:w="2207" w:type="pct"/>
            <w:gridSpan w:val="7"/>
            <w:tcBorders>
              <w:top w:val="single" w:sz="6" w:space="0" w:color="FFFFFF"/>
              <w:left w:val="single" w:sz="6" w:space="0" w:color="FFFFFF"/>
              <w:right w:val="single" w:sz="6" w:space="0" w:color="FFFFFF"/>
            </w:tcBorders>
            <w:shd w:val="clear" w:color="auto" w:fill="auto"/>
            <w:vAlign w:val="center"/>
          </w:tcPr>
          <w:p w:rsidR="00A232FD" w:rsidRDefault="00E33AB9">
            <w:pPr>
              <w:spacing w:line="300" w:lineRule="exact"/>
              <w:jc w:val="right"/>
              <w:rPr>
                <w:rFonts w:ascii="方正小标宋_GBK" w:eastAsia="方正小标宋_GBK" w:hAnsi="Times New Roman" w:cs="Times New Roman"/>
                <w:sz w:val="18"/>
                <w:szCs w:val="18"/>
              </w:rPr>
            </w:pPr>
            <w:r>
              <w:rPr>
                <w:rFonts w:ascii="方正小标宋_GBK" w:eastAsia="方正小标宋_GBK" w:hAnsi="Times New Roman" w:cs="Times New Roman" w:hint="eastAsia"/>
                <w:sz w:val="18"/>
                <w:szCs w:val="18"/>
              </w:rPr>
              <w:t>单位：万元</w:t>
            </w:r>
          </w:p>
        </w:tc>
      </w:tr>
      <w:tr w:rsidR="00A232FD" w:rsidTr="00D70249">
        <w:trPr>
          <w:tblHeader/>
          <w:jc w:val="center"/>
        </w:trPr>
        <w:tc>
          <w:tcPr>
            <w:tcW w:w="1071" w:type="pct"/>
            <w:gridSpan w:val="2"/>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政府采购项目来源</w:t>
            </w:r>
          </w:p>
        </w:tc>
        <w:tc>
          <w:tcPr>
            <w:tcW w:w="420"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采购物品名称</w:t>
            </w:r>
          </w:p>
        </w:tc>
        <w:tc>
          <w:tcPr>
            <w:tcW w:w="499"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政府采购目录序号</w:t>
            </w:r>
          </w:p>
        </w:tc>
        <w:tc>
          <w:tcPr>
            <w:tcW w:w="268"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  单位</w:t>
            </w:r>
          </w:p>
        </w:tc>
        <w:tc>
          <w:tcPr>
            <w:tcW w:w="224"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数量</w:t>
            </w:r>
          </w:p>
        </w:tc>
        <w:tc>
          <w:tcPr>
            <w:tcW w:w="311"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单价</w:t>
            </w:r>
          </w:p>
        </w:tc>
        <w:tc>
          <w:tcPr>
            <w:tcW w:w="2207" w:type="pct"/>
            <w:gridSpan w:val="7"/>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政府采购金额</w:t>
            </w:r>
          </w:p>
        </w:tc>
      </w:tr>
      <w:tr w:rsidR="00A232FD">
        <w:trPr>
          <w:tblHeader/>
          <w:jc w:val="center"/>
        </w:trPr>
        <w:tc>
          <w:tcPr>
            <w:tcW w:w="737"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项目名称</w:t>
            </w:r>
          </w:p>
        </w:tc>
        <w:tc>
          <w:tcPr>
            <w:tcW w:w="334"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预算资金</w:t>
            </w:r>
          </w:p>
        </w:tc>
        <w:tc>
          <w:tcPr>
            <w:tcW w:w="420"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499"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268"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224"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311"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326"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总计</w:t>
            </w:r>
          </w:p>
        </w:tc>
        <w:tc>
          <w:tcPr>
            <w:tcW w:w="1582" w:type="pct"/>
            <w:gridSpan w:val="5"/>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当年部门预算安排资金</w:t>
            </w:r>
          </w:p>
        </w:tc>
        <w:tc>
          <w:tcPr>
            <w:tcW w:w="299" w:type="pct"/>
            <w:vMerge w:val="restar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其他渠道资金</w:t>
            </w:r>
          </w:p>
        </w:tc>
      </w:tr>
      <w:tr w:rsidR="00A232FD">
        <w:trPr>
          <w:tblHeader/>
          <w:jc w:val="center"/>
        </w:trPr>
        <w:tc>
          <w:tcPr>
            <w:tcW w:w="737"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334"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420"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499"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268"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224"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311"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326"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c>
          <w:tcPr>
            <w:tcW w:w="326"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合计</w:t>
            </w:r>
          </w:p>
        </w:tc>
        <w:tc>
          <w:tcPr>
            <w:tcW w:w="359"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一般公共预算拨款</w:t>
            </w:r>
          </w:p>
        </w:tc>
        <w:tc>
          <w:tcPr>
            <w:tcW w:w="299"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基金预算拨款</w:t>
            </w:r>
          </w:p>
        </w:tc>
        <w:tc>
          <w:tcPr>
            <w:tcW w:w="299"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财政专户核拨</w:t>
            </w:r>
          </w:p>
        </w:tc>
        <w:tc>
          <w:tcPr>
            <w:tcW w:w="299"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其他来源收入</w:t>
            </w:r>
          </w:p>
        </w:tc>
        <w:tc>
          <w:tcPr>
            <w:tcW w:w="299" w:type="pct"/>
            <w:vMerge/>
            <w:shd w:val="clear" w:color="auto" w:fill="auto"/>
            <w:vAlign w:val="center"/>
          </w:tcPr>
          <w:p w:rsidR="00A232FD" w:rsidRDefault="00A232FD">
            <w:pPr>
              <w:spacing w:line="300" w:lineRule="exact"/>
              <w:jc w:val="left"/>
              <w:outlineLvl w:val="0"/>
              <w:rPr>
                <w:rFonts w:ascii="Times New Roman" w:hAnsi="Times New Roman" w:cs="Times New Roman"/>
                <w:szCs w:val="24"/>
              </w:rPr>
            </w:pPr>
          </w:p>
        </w:tc>
      </w:tr>
      <w:tr w:rsidR="00A232FD">
        <w:trPr>
          <w:jc w:val="center"/>
        </w:trPr>
        <w:tc>
          <w:tcPr>
            <w:tcW w:w="737"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Ansi="Times New Roman" w:cs="Times New Roman" w:hint="eastAsia"/>
                <w:b/>
                <w:szCs w:val="24"/>
              </w:rPr>
              <w:t>合　计</w:t>
            </w:r>
          </w:p>
        </w:tc>
        <w:tc>
          <w:tcPr>
            <w:tcW w:w="334" w:type="pct"/>
            <w:shd w:val="clear" w:color="auto" w:fill="auto"/>
            <w:vAlign w:val="center"/>
          </w:tcPr>
          <w:p w:rsidR="00A232FD" w:rsidRDefault="00D70249">
            <w:pPr>
              <w:spacing w:line="300" w:lineRule="exact"/>
              <w:jc w:val="right"/>
              <w:rPr>
                <w:rFonts w:ascii="方正书宋_GBK" w:eastAsia="方正书宋_GBK" w:hAnsi="Times New Roman" w:cs="Times New Roman"/>
                <w:b/>
                <w:szCs w:val="24"/>
              </w:rPr>
            </w:pPr>
            <w:r>
              <w:rPr>
                <w:rFonts w:ascii="方正书宋_GBK" w:eastAsia="方正书宋_GBK" w:hint="eastAsia"/>
                <w:b/>
              </w:rPr>
              <w:t>111</w:t>
            </w:r>
            <w:r w:rsidR="00E33AB9">
              <w:rPr>
                <w:rFonts w:ascii="方正书宋_GBK" w:eastAsia="方正书宋_GBK" w:hint="eastAsia"/>
                <w:b/>
              </w:rPr>
              <w:t>.92</w:t>
            </w:r>
          </w:p>
        </w:tc>
        <w:tc>
          <w:tcPr>
            <w:tcW w:w="420" w:type="pct"/>
            <w:shd w:val="clear" w:color="auto" w:fill="auto"/>
            <w:vAlign w:val="center"/>
          </w:tcPr>
          <w:p w:rsidR="00A232FD" w:rsidRDefault="00A232FD">
            <w:pPr>
              <w:spacing w:line="300" w:lineRule="exact"/>
              <w:jc w:val="left"/>
              <w:rPr>
                <w:rFonts w:ascii="方正书宋_GBK" w:eastAsia="方正书宋_GBK" w:hAnsi="Times New Roman" w:cs="Times New Roman"/>
                <w:b/>
                <w:szCs w:val="24"/>
              </w:rPr>
            </w:pPr>
          </w:p>
        </w:tc>
        <w:tc>
          <w:tcPr>
            <w:tcW w:w="499" w:type="pct"/>
            <w:shd w:val="clear" w:color="auto" w:fill="auto"/>
            <w:vAlign w:val="center"/>
          </w:tcPr>
          <w:p w:rsidR="00A232FD" w:rsidRDefault="00A232FD">
            <w:pPr>
              <w:spacing w:line="300" w:lineRule="exact"/>
              <w:jc w:val="left"/>
              <w:rPr>
                <w:rFonts w:ascii="方正书宋_GBK" w:eastAsia="方正书宋_GBK" w:hAnsi="Times New Roman" w:cs="Times New Roman"/>
                <w:b/>
                <w:szCs w:val="24"/>
              </w:rPr>
            </w:pPr>
          </w:p>
        </w:tc>
        <w:tc>
          <w:tcPr>
            <w:tcW w:w="268" w:type="pct"/>
            <w:shd w:val="clear" w:color="auto" w:fill="auto"/>
            <w:vAlign w:val="center"/>
          </w:tcPr>
          <w:p w:rsidR="00A232FD" w:rsidRDefault="00A232FD">
            <w:pPr>
              <w:spacing w:line="300" w:lineRule="exact"/>
              <w:jc w:val="left"/>
              <w:rPr>
                <w:rFonts w:ascii="方正书宋_GBK" w:eastAsia="方正书宋_GBK" w:hAnsi="Times New Roman" w:cs="Times New Roman"/>
                <w:b/>
                <w:szCs w:val="24"/>
              </w:rPr>
            </w:pPr>
          </w:p>
        </w:tc>
        <w:tc>
          <w:tcPr>
            <w:tcW w:w="224"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311"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326" w:type="pct"/>
            <w:shd w:val="clear" w:color="auto" w:fill="auto"/>
            <w:vAlign w:val="center"/>
          </w:tcPr>
          <w:p w:rsidR="00A232FD" w:rsidRDefault="00D70249">
            <w:pPr>
              <w:spacing w:line="300" w:lineRule="exact"/>
              <w:jc w:val="right"/>
              <w:rPr>
                <w:rFonts w:ascii="方正书宋_GBK" w:eastAsia="方正书宋_GBK" w:hAnsi="Times New Roman" w:cs="Times New Roman"/>
                <w:b/>
                <w:szCs w:val="24"/>
              </w:rPr>
            </w:pPr>
            <w:r>
              <w:rPr>
                <w:rFonts w:ascii="方正书宋_GBK" w:eastAsia="方正书宋_GBK" w:hint="eastAsia"/>
                <w:b/>
              </w:rPr>
              <w:t>111</w:t>
            </w:r>
            <w:r w:rsidR="00E33AB9">
              <w:rPr>
                <w:rFonts w:ascii="方正书宋_GBK" w:eastAsia="方正书宋_GBK" w:hint="eastAsia"/>
                <w:b/>
              </w:rPr>
              <w:t>.92</w:t>
            </w:r>
          </w:p>
        </w:tc>
        <w:tc>
          <w:tcPr>
            <w:tcW w:w="326" w:type="pct"/>
            <w:shd w:val="clear" w:color="auto" w:fill="auto"/>
            <w:vAlign w:val="center"/>
          </w:tcPr>
          <w:p w:rsidR="00A232FD" w:rsidRDefault="00D70249">
            <w:pPr>
              <w:spacing w:line="300" w:lineRule="exact"/>
              <w:jc w:val="right"/>
              <w:rPr>
                <w:rFonts w:ascii="方正书宋_GBK" w:eastAsia="方正书宋_GBK" w:hAnsi="Times New Roman" w:cs="Times New Roman"/>
                <w:b/>
                <w:szCs w:val="24"/>
              </w:rPr>
            </w:pPr>
            <w:r>
              <w:rPr>
                <w:rFonts w:ascii="方正书宋_GBK" w:eastAsia="方正书宋_GBK" w:hint="eastAsia"/>
                <w:b/>
              </w:rPr>
              <w:t>111</w:t>
            </w:r>
            <w:r w:rsidR="00E33AB9">
              <w:rPr>
                <w:rFonts w:ascii="方正书宋_GBK" w:eastAsia="方正书宋_GBK" w:hint="eastAsia"/>
                <w:b/>
              </w:rPr>
              <w:t>.92</w:t>
            </w:r>
          </w:p>
        </w:tc>
        <w:tc>
          <w:tcPr>
            <w:tcW w:w="35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r>
      <w:tr w:rsidR="00A232FD">
        <w:trPr>
          <w:trHeight w:val="879"/>
          <w:jc w:val="center"/>
        </w:trPr>
        <w:tc>
          <w:tcPr>
            <w:tcW w:w="737"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int="eastAsia"/>
              </w:rPr>
              <w:t>两违拆除经费</w:t>
            </w:r>
          </w:p>
        </w:tc>
        <w:tc>
          <w:tcPr>
            <w:tcW w:w="334"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36.92</w:t>
            </w:r>
          </w:p>
        </w:tc>
        <w:tc>
          <w:tcPr>
            <w:tcW w:w="420"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hint="eastAsia"/>
              </w:rPr>
              <w:t>拆除工程</w:t>
            </w:r>
          </w:p>
        </w:tc>
        <w:tc>
          <w:tcPr>
            <w:tcW w:w="499"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rPr>
              <w:t>B0303</w:t>
            </w:r>
          </w:p>
        </w:tc>
        <w:tc>
          <w:tcPr>
            <w:tcW w:w="268"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36.92</w:t>
            </w:r>
          </w:p>
        </w:tc>
        <w:tc>
          <w:tcPr>
            <w:tcW w:w="326"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36.92</w:t>
            </w:r>
          </w:p>
        </w:tc>
        <w:tc>
          <w:tcPr>
            <w:tcW w:w="326"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36.92</w:t>
            </w:r>
          </w:p>
        </w:tc>
        <w:tc>
          <w:tcPr>
            <w:tcW w:w="35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r>
      <w:tr w:rsidR="00A232FD">
        <w:trPr>
          <w:trHeight w:val="431"/>
          <w:jc w:val="center"/>
        </w:trPr>
        <w:tc>
          <w:tcPr>
            <w:tcW w:w="737"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int="eastAsia"/>
              </w:rPr>
              <w:t>河道综合整治资金</w:t>
            </w:r>
          </w:p>
        </w:tc>
        <w:tc>
          <w:tcPr>
            <w:tcW w:w="334"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35</w:t>
            </w:r>
          </w:p>
        </w:tc>
        <w:tc>
          <w:tcPr>
            <w:tcW w:w="420"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hint="eastAsia"/>
              </w:rPr>
              <w:t>江河湖泊治理工程施工</w:t>
            </w:r>
          </w:p>
        </w:tc>
        <w:tc>
          <w:tcPr>
            <w:tcW w:w="499"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rPr>
              <w:t>B021605</w:t>
            </w:r>
          </w:p>
        </w:tc>
        <w:tc>
          <w:tcPr>
            <w:tcW w:w="268"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35</w:t>
            </w:r>
          </w:p>
        </w:tc>
        <w:tc>
          <w:tcPr>
            <w:tcW w:w="326"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35</w:t>
            </w:r>
          </w:p>
        </w:tc>
        <w:tc>
          <w:tcPr>
            <w:tcW w:w="326"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hint="eastAsia"/>
              </w:rPr>
              <w:t>35</w:t>
            </w:r>
          </w:p>
        </w:tc>
        <w:tc>
          <w:tcPr>
            <w:tcW w:w="35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r>
      <w:tr w:rsidR="00A232FD">
        <w:trPr>
          <w:jc w:val="center"/>
        </w:trPr>
        <w:tc>
          <w:tcPr>
            <w:tcW w:w="737" w:type="pct"/>
            <w:shd w:val="clear" w:color="auto" w:fill="auto"/>
            <w:vAlign w:val="center"/>
          </w:tcPr>
          <w:p w:rsidR="00A232FD" w:rsidRDefault="00E33AB9">
            <w:pPr>
              <w:spacing w:line="300" w:lineRule="exact"/>
              <w:jc w:val="center"/>
              <w:rPr>
                <w:rFonts w:ascii="方正书宋_GBK" w:eastAsia="方正书宋_GBK" w:hAnsi="Times New Roman" w:cs="Times New Roman"/>
                <w:b/>
                <w:szCs w:val="24"/>
              </w:rPr>
            </w:pPr>
            <w:r>
              <w:rPr>
                <w:rFonts w:ascii="方正书宋_GBK" w:eastAsia="方正书宋_GBK" w:hint="eastAsia"/>
              </w:rPr>
              <w:t>秸秆综合利用经费</w:t>
            </w:r>
          </w:p>
        </w:tc>
        <w:tc>
          <w:tcPr>
            <w:tcW w:w="334"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4</w:t>
            </w:r>
            <w:r>
              <w:rPr>
                <w:rFonts w:ascii="方正书宋_GBK" w:eastAsia="方正书宋_GBK" w:hint="eastAsia"/>
              </w:rPr>
              <w:t>0</w:t>
            </w:r>
            <w:r>
              <w:rPr>
                <w:rFonts w:ascii="方正书宋_GBK" w:eastAsia="方正书宋_GBK"/>
              </w:rPr>
              <w:t>.00</w:t>
            </w:r>
          </w:p>
        </w:tc>
        <w:tc>
          <w:tcPr>
            <w:tcW w:w="420"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hint="eastAsia"/>
              </w:rPr>
              <w:t>大气污染治理服务</w:t>
            </w:r>
          </w:p>
        </w:tc>
        <w:tc>
          <w:tcPr>
            <w:tcW w:w="499"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rPr>
              <w:t>C160301</w:t>
            </w:r>
          </w:p>
        </w:tc>
        <w:tc>
          <w:tcPr>
            <w:tcW w:w="268" w:type="pct"/>
            <w:shd w:val="clear" w:color="auto" w:fill="auto"/>
            <w:vAlign w:val="center"/>
          </w:tcPr>
          <w:p w:rsidR="00A232FD" w:rsidRDefault="00E33AB9">
            <w:pPr>
              <w:spacing w:line="300" w:lineRule="exact"/>
              <w:jc w:val="left"/>
              <w:rPr>
                <w:rFonts w:ascii="方正书宋_GBK" w:eastAsia="方正书宋_GBK" w:hAnsi="Times New Roman" w:cs="Times New Roman"/>
                <w:b/>
                <w:szCs w:val="24"/>
              </w:rPr>
            </w:pPr>
            <w:r>
              <w:rPr>
                <w:rFonts w:ascii="方正书宋_GBK" w:eastAsia="方正书宋_GBK" w:hint="eastAsia"/>
              </w:rPr>
              <w:t>次</w:t>
            </w:r>
          </w:p>
        </w:tc>
        <w:tc>
          <w:tcPr>
            <w:tcW w:w="224"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1.00</w:t>
            </w:r>
          </w:p>
        </w:tc>
        <w:tc>
          <w:tcPr>
            <w:tcW w:w="311"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4</w:t>
            </w:r>
            <w:r>
              <w:rPr>
                <w:rFonts w:ascii="方正书宋_GBK" w:eastAsia="方正书宋_GBK" w:hint="eastAsia"/>
              </w:rPr>
              <w:t>0</w:t>
            </w:r>
            <w:r>
              <w:rPr>
                <w:rFonts w:ascii="方正书宋_GBK" w:eastAsia="方正书宋_GBK"/>
              </w:rPr>
              <w:t>.00</w:t>
            </w:r>
          </w:p>
        </w:tc>
        <w:tc>
          <w:tcPr>
            <w:tcW w:w="326"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4</w:t>
            </w:r>
            <w:r>
              <w:rPr>
                <w:rFonts w:ascii="方正书宋_GBK" w:eastAsia="方正书宋_GBK" w:hint="eastAsia"/>
              </w:rPr>
              <w:t>0</w:t>
            </w:r>
            <w:r>
              <w:rPr>
                <w:rFonts w:ascii="方正书宋_GBK" w:eastAsia="方正书宋_GBK"/>
              </w:rPr>
              <w:t>.00</w:t>
            </w:r>
          </w:p>
        </w:tc>
        <w:tc>
          <w:tcPr>
            <w:tcW w:w="326" w:type="pct"/>
            <w:shd w:val="clear" w:color="auto" w:fill="auto"/>
            <w:vAlign w:val="center"/>
          </w:tcPr>
          <w:p w:rsidR="00A232FD" w:rsidRDefault="00E33AB9">
            <w:pPr>
              <w:spacing w:line="300" w:lineRule="exact"/>
              <w:jc w:val="right"/>
              <w:rPr>
                <w:rFonts w:ascii="方正书宋_GBK" w:eastAsia="方正书宋_GBK" w:hAnsi="Times New Roman" w:cs="Times New Roman"/>
                <w:b/>
                <w:szCs w:val="24"/>
              </w:rPr>
            </w:pPr>
            <w:r>
              <w:rPr>
                <w:rFonts w:ascii="方正书宋_GBK" w:eastAsia="方正书宋_GBK"/>
              </w:rPr>
              <w:t>4</w:t>
            </w:r>
            <w:r>
              <w:rPr>
                <w:rFonts w:ascii="方正书宋_GBK" w:eastAsia="方正书宋_GBK" w:hint="eastAsia"/>
              </w:rPr>
              <w:t>0</w:t>
            </w:r>
            <w:r>
              <w:rPr>
                <w:rFonts w:ascii="方正书宋_GBK" w:eastAsia="方正书宋_GBK"/>
              </w:rPr>
              <w:t>.00</w:t>
            </w:r>
          </w:p>
        </w:tc>
        <w:tc>
          <w:tcPr>
            <w:tcW w:w="35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c>
          <w:tcPr>
            <w:tcW w:w="299" w:type="pct"/>
            <w:shd w:val="clear" w:color="auto" w:fill="auto"/>
            <w:vAlign w:val="center"/>
          </w:tcPr>
          <w:p w:rsidR="00A232FD" w:rsidRDefault="00A232FD">
            <w:pPr>
              <w:spacing w:line="300" w:lineRule="exact"/>
              <w:jc w:val="right"/>
              <w:rPr>
                <w:rFonts w:ascii="方正书宋_GBK" w:eastAsia="方正书宋_GBK" w:hAnsi="Times New Roman" w:cs="Times New Roman"/>
                <w:b/>
                <w:szCs w:val="24"/>
              </w:rPr>
            </w:pPr>
          </w:p>
        </w:tc>
      </w:tr>
    </w:tbl>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七、国有资产信息</w:t>
      </w:r>
    </w:p>
    <w:p w:rsidR="00A232FD" w:rsidRDefault="00E33AB9">
      <w:pPr>
        <w:ind w:firstLineChars="200" w:firstLine="640"/>
        <w:rPr>
          <w:rFonts w:ascii="仿宋_GB2312" w:eastAsia="仿宋_GB2312" w:hAnsi="黑体" w:cs="Times New Roman"/>
          <w:sz w:val="32"/>
          <w:szCs w:val="32"/>
        </w:rPr>
      </w:pPr>
      <w:r>
        <w:rPr>
          <w:rFonts w:ascii="仿宋_GB2312" w:eastAsia="仿宋_GB2312" w:hAnsi="黑体" w:cs="Times New Roman" w:hint="eastAsia"/>
          <w:sz w:val="32"/>
          <w:szCs w:val="32"/>
        </w:rPr>
        <w:t>霸州市堂二里镇人民政府（含所属单位）上年末固定资产金额为622.08万元（详见下表）。2020年，</w:t>
      </w:r>
      <w:proofErr w:type="gramStart"/>
      <w:r>
        <w:rPr>
          <w:rFonts w:ascii="仿宋_GB2312" w:eastAsia="仿宋_GB2312" w:hAnsi="黑体" w:cs="Times New Roman" w:hint="eastAsia"/>
          <w:sz w:val="32"/>
          <w:szCs w:val="32"/>
        </w:rPr>
        <w:t>我部门</w:t>
      </w:r>
      <w:proofErr w:type="gramEnd"/>
      <w:r>
        <w:rPr>
          <w:rFonts w:ascii="仿宋_GB2312" w:eastAsia="仿宋_GB2312" w:hAnsi="黑体" w:cs="Times New Roman" w:hint="eastAsia"/>
          <w:sz w:val="32"/>
          <w:szCs w:val="32"/>
        </w:rPr>
        <w:t>无新增固定资产计划。</w:t>
      </w:r>
    </w:p>
    <w:tbl>
      <w:tblPr>
        <w:tblW w:w="13482" w:type="dxa"/>
        <w:tblInd w:w="93" w:type="dxa"/>
        <w:tblLayout w:type="fixed"/>
        <w:tblLook w:val="04A0"/>
      </w:tblPr>
      <w:tblGrid>
        <w:gridCol w:w="5224"/>
        <w:gridCol w:w="3155"/>
        <w:gridCol w:w="5103"/>
      </w:tblGrid>
      <w:tr w:rsidR="00A232FD">
        <w:trPr>
          <w:trHeight w:val="705"/>
        </w:trPr>
        <w:tc>
          <w:tcPr>
            <w:tcW w:w="13482" w:type="dxa"/>
            <w:gridSpan w:val="3"/>
            <w:tcBorders>
              <w:top w:val="nil"/>
              <w:left w:val="nil"/>
              <w:bottom w:val="nil"/>
              <w:right w:val="nil"/>
            </w:tcBorders>
            <w:vAlign w:val="center"/>
          </w:tcPr>
          <w:p w:rsidR="00A232FD" w:rsidRDefault="00A232FD">
            <w:pPr>
              <w:widowControl/>
              <w:jc w:val="center"/>
              <w:rPr>
                <w:rFonts w:ascii="宋体" w:hAnsi="宋体" w:cs="宋体"/>
                <w:b/>
                <w:bCs/>
                <w:kern w:val="0"/>
                <w:sz w:val="32"/>
                <w:szCs w:val="32"/>
              </w:rPr>
            </w:pPr>
          </w:p>
          <w:p w:rsidR="00A232FD" w:rsidRDefault="00E33AB9">
            <w:pPr>
              <w:widowControl/>
              <w:jc w:val="center"/>
              <w:rPr>
                <w:rFonts w:ascii="宋体" w:hAnsi="宋体" w:cs="宋体"/>
                <w:b/>
                <w:bCs/>
                <w:kern w:val="0"/>
                <w:sz w:val="32"/>
                <w:szCs w:val="32"/>
              </w:rPr>
            </w:pPr>
            <w:r>
              <w:rPr>
                <w:rFonts w:ascii="宋体" w:hAnsi="宋体" w:cs="宋体" w:hint="eastAsia"/>
                <w:b/>
                <w:bCs/>
                <w:kern w:val="0"/>
                <w:sz w:val="32"/>
                <w:szCs w:val="32"/>
              </w:rPr>
              <w:t>霸州市</w:t>
            </w:r>
            <w:r>
              <w:rPr>
                <w:rFonts w:ascii="仿宋_GB2312" w:eastAsia="仿宋_GB2312" w:hAnsi="黑体" w:cs="Times New Roman" w:hint="eastAsia"/>
                <w:b/>
                <w:sz w:val="32"/>
                <w:szCs w:val="32"/>
              </w:rPr>
              <w:t>堂二里镇人民政府</w:t>
            </w:r>
            <w:r>
              <w:rPr>
                <w:rFonts w:ascii="宋体" w:hAnsi="宋体" w:cs="宋体" w:hint="eastAsia"/>
                <w:b/>
                <w:bCs/>
                <w:kern w:val="0"/>
                <w:sz w:val="32"/>
                <w:szCs w:val="32"/>
              </w:rPr>
              <w:t>部门固定资产占用情况表</w:t>
            </w:r>
          </w:p>
        </w:tc>
      </w:tr>
      <w:tr w:rsidR="00A232FD">
        <w:trPr>
          <w:trHeight w:val="510"/>
        </w:trPr>
        <w:tc>
          <w:tcPr>
            <w:tcW w:w="8379" w:type="dxa"/>
            <w:gridSpan w:val="2"/>
            <w:tcBorders>
              <w:top w:val="nil"/>
              <w:left w:val="nil"/>
              <w:bottom w:val="nil"/>
              <w:right w:val="nil"/>
            </w:tcBorders>
            <w:vAlign w:val="center"/>
          </w:tcPr>
          <w:p w:rsidR="00A232FD" w:rsidRDefault="00E33AB9">
            <w:pPr>
              <w:widowControl/>
              <w:jc w:val="left"/>
              <w:rPr>
                <w:rFonts w:ascii="宋体" w:hAnsi="宋体" w:cs="宋体"/>
                <w:kern w:val="0"/>
                <w:sz w:val="22"/>
              </w:rPr>
            </w:pPr>
            <w:r>
              <w:rPr>
                <w:rFonts w:ascii="宋体" w:hAnsi="宋体" w:cs="宋体" w:hint="eastAsia"/>
                <w:kern w:val="0"/>
                <w:sz w:val="22"/>
              </w:rPr>
              <w:t>编制部门：960</w:t>
            </w:r>
            <w:r>
              <w:rPr>
                <w:rFonts w:ascii="仿宋_GB2312" w:eastAsia="仿宋_GB2312" w:hAnsi="黑体" w:cs="Times New Roman" w:hint="eastAsia"/>
                <w:szCs w:val="21"/>
              </w:rPr>
              <w:t>霸州市堂二里镇人民政府</w:t>
            </w:r>
          </w:p>
        </w:tc>
        <w:tc>
          <w:tcPr>
            <w:tcW w:w="5103" w:type="dxa"/>
            <w:tcBorders>
              <w:top w:val="nil"/>
              <w:left w:val="nil"/>
              <w:bottom w:val="nil"/>
              <w:right w:val="nil"/>
            </w:tcBorders>
            <w:vAlign w:val="center"/>
          </w:tcPr>
          <w:p w:rsidR="00A232FD" w:rsidRDefault="00E33AB9">
            <w:pPr>
              <w:widowControl/>
              <w:ind w:firstLineChars="750" w:firstLine="1650"/>
              <w:jc w:val="left"/>
              <w:rPr>
                <w:rFonts w:ascii="宋体" w:hAnsi="宋体" w:cs="宋体"/>
                <w:kern w:val="0"/>
                <w:sz w:val="22"/>
              </w:rPr>
            </w:pPr>
            <w:r>
              <w:rPr>
                <w:rFonts w:ascii="宋体" w:hAnsi="宋体" w:cs="宋体" w:hint="eastAsia"/>
                <w:kern w:val="0"/>
                <w:sz w:val="22"/>
              </w:rPr>
              <w:t>截止时间：201</w:t>
            </w:r>
            <w:r>
              <w:rPr>
                <w:rFonts w:ascii="宋体" w:hAnsi="宋体" w:cs="宋体"/>
                <w:kern w:val="0"/>
                <w:sz w:val="22"/>
              </w:rPr>
              <w:t>9</w:t>
            </w:r>
            <w:r>
              <w:rPr>
                <w:rFonts w:ascii="宋体" w:hAnsi="宋体" w:cs="宋体" w:hint="eastAsia"/>
                <w:kern w:val="0"/>
                <w:sz w:val="22"/>
              </w:rPr>
              <w:t xml:space="preserve">年12月31日  </w:t>
            </w:r>
          </w:p>
        </w:tc>
      </w:tr>
      <w:tr w:rsidR="00A232FD">
        <w:trPr>
          <w:trHeight w:val="478"/>
        </w:trPr>
        <w:tc>
          <w:tcPr>
            <w:tcW w:w="5224" w:type="dxa"/>
            <w:tcBorders>
              <w:top w:val="single" w:sz="4" w:space="0" w:color="auto"/>
              <w:left w:val="single" w:sz="4" w:space="0" w:color="auto"/>
              <w:bottom w:val="single" w:sz="4" w:space="0" w:color="auto"/>
              <w:right w:val="single" w:sz="4" w:space="0" w:color="auto"/>
            </w:tcBorders>
            <w:vAlign w:val="center"/>
          </w:tcPr>
          <w:p w:rsidR="00A232FD" w:rsidRDefault="00E33AB9">
            <w:pPr>
              <w:widowControl/>
              <w:jc w:val="center"/>
              <w:rPr>
                <w:rFonts w:ascii="宋体" w:hAnsi="宋体" w:cs="宋体"/>
                <w:b/>
                <w:bCs/>
                <w:kern w:val="0"/>
                <w:sz w:val="22"/>
              </w:rPr>
            </w:pPr>
            <w:r>
              <w:rPr>
                <w:rFonts w:ascii="宋体" w:hAnsi="宋体" w:cs="宋体" w:hint="eastAsia"/>
                <w:b/>
                <w:bCs/>
                <w:kern w:val="0"/>
                <w:sz w:val="22"/>
              </w:rPr>
              <w:lastRenderedPageBreak/>
              <w:t>项   目</w:t>
            </w:r>
          </w:p>
        </w:tc>
        <w:tc>
          <w:tcPr>
            <w:tcW w:w="3155" w:type="dxa"/>
            <w:tcBorders>
              <w:top w:val="single" w:sz="4" w:space="0" w:color="auto"/>
              <w:left w:val="nil"/>
              <w:bottom w:val="single" w:sz="4" w:space="0" w:color="auto"/>
              <w:right w:val="single" w:sz="4" w:space="0" w:color="auto"/>
            </w:tcBorders>
            <w:vAlign w:val="center"/>
          </w:tcPr>
          <w:p w:rsidR="00A232FD" w:rsidRDefault="00E33AB9">
            <w:pPr>
              <w:widowControl/>
              <w:jc w:val="center"/>
              <w:rPr>
                <w:rFonts w:ascii="宋体" w:hAnsi="宋体" w:cs="宋体"/>
                <w:b/>
                <w:bCs/>
                <w:kern w:val="0"/>
                <w:sz w:val="22"/>
              </w:rPr>
            </w:pPr>
            <w:r>
              <w:rPr>
                <w:rFonts w:ascii="宋体" w:hAnsi="宋体" w:cs="宋体" w:hint="eastAsia"/>
                <w:b/>
                <w:bCs/>
                <w:kern w:val="0"/>
                <w:sz w:val="22"/>
              </w:rPr>
              <w:t>数量</w:t>
            </w:r>
          </w:p>
        </w:tc>
        <w:tc>
          <w:tcPr>
            <w:tcW w:w="5103" w:type="dxa"/>
            <w:tcBorders>
              <w:top w:val="single" w:sz="4" w:space="0" w:color="auto"/>
              <w:left w:val="nil"/>
              <w:bottom w:val="single" w:sz="4" w:space="0" w:color="auto"/>
              <w:right w:val="single" w:sz="4" w:space="0" w:color="auto"/>
            </w:tcBorders>
            <w:vAlign w:val="center"/>
          </w:tcPr>
          <w:p w:rsidR="00A232FD" w:rsidRDefault="00E33AB9">
            <w:pPr>
              <w:widowControl/>
              <w:jc w:val="center"/>
              <w:rPr>
                <w:rFonts w:ascii="宋体" w:hAnsi="宋体" w:cs="宋体"/>
                <w:b/>
                <w:bCs/>
                <w:kern w:val="0"/>
                <w:sz w:val="22"/>
              </w:rPr>
            </w:pPr>
            <w:r>
              <w:rPr>
                <w:rFonts w:ascii="宋体" w:hAnsi="宋体" w:cs="宋体" w:hint="eastAsia"/>
                <w:b/>
                <w:bCs/>
                <w:kern w:val="0"/>
                <w:sz w:val="22"/>
              </w:rPr>
              <w:t>价值（金额单位：万元）</w:t>
            </w:r>
          </w:p>
        </w:tc>
      </w:tr>
      <w:tr w:rsidR="00A232FD">
        <w:trPr>
          <w:trHeight w:val="543"/>
        </w:trPr>
        <w:tc>
          <w:tcPr>
            <w:tcW w:w="5224" w:type="dxa"/>
            <w:tcBorders>
              <w:top w:val="nil"/>
              <w:left w:val="single" w:sz="4" w:space="0" w:color="auto"/>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资产总额</w:t>
            </w:r>
          </w:p>
        </w:tc>
        <w:tc>
          <w:tcPr>
            <w:tcW w:w="3155"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w:t>
            </w:r>
          </w:p>
        </w:tc>
        <w:tc>
          <w:tcPr>
            <w:tcW w:w="5103"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622.08</w:t>
            </w:r>
          </w:p>
        </w:tc>
      </w:tr>
      <w:tr w:rsidR="00A232FD">
        <w:trPr>
          <w:trHeight w:val="578"/>
        </w:trPr>
        <w:tc>
          <w:tcPr>
            <w:tcW w:w="5224" w:type="dxa"/>
            <w:tcBorders>
              <w:top w:val="nil"/>
              <w:left w:val="single" w:sz="4" w:space="0" w:color="auto"/>
              <w:bottom w:val="single" w:sz="4" w:space="0" w:color="auto"/>
              <w:right w:val="single" w:sz="4" w:space="0" w:color="auto"/>
            </w:tcBorders>
            <w:vAlign w:val="center"/>
          </w:tcPr>
          <w:p w:rsidR="00A232FD" w:rsidRDefault="00E33AB9">
            <w:pPr>
              <w:widowControl/>
              <w:jc w:val="left"/>
              <w:rPr>
                <w:rFonts w:ascii="宋体" w:hAnsi="宋体" w:cs="宋体"/>
                <w:kern w:val="0"/>
                <w:sz w:val="22"/>
              </w:rPr>
            </w:pPr>
            <w:r>
              <w:rPr>
                <w:rFonts w:ascii="宋体" w:hAnsi="宋体" w:cs="宋体" w:hint="eastAsia"/>
                <w:kern w:val="0"/>
                <w:sz w:val="22"/>
              </w:rPr>
              <w:t>1、房屋（平方米）</w:t>
            </w:r>
          </w:p>
        </w:tc>
        <w:tc>
          <w:tcPr>
            <w:tcW w:w="3155"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3338</w:t>
            </w:r>
          </w:p>
        </w:tc>
        <w:tc>
          <w:tcPr>
            <w:tcW w:w="5103"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425.85</w:t>
            </w:r>
          </w:p>
        </w:tc>
      </w:tr>
      <w:tr w:rsidR="00A232FD">
        <w:trPr>
          <w:trHeight w:val="560"/>
        </w:trPr>
        <w:tc>
          <w:tcPr>
            <w:tcW w:w="5224" w:type="dxa"/>
            <w:tcBorders>
              <w:top w:val="nil"/>
              <w:left w:val="single" w:sz="4" w:space="0" w:color="auto"/>
              <w:bottom w:val="single" w:sz="4" w:space="0" w:color="auto"/>
              <w:right w:val="single" w:sz="4" w:space="0" w:color="auto"/>
            </w:tcBorders>
            <w:vAlign w:val="center"/>
          </w:tcPr>
          <w:p w:rsidR="00A232FD" w:rsidRDefault="00E33AB9">
            <w:pPr>
              <w:widowControl/>
              <w:jc w:val="left"/>
              <w:rPr>
                <w:rFonts w:ascii="宋体" w:hAnsi="宋体" w:cs="宋体"/>
                <w:kern w:val="0"/>
                <w:sz w:val="22"/>
              </w:rPr>
            </w:pPr>
            <w:r>
              <w:rPr>
                <w:rFonts w:ascii="宋体" w:hAnsi="宋体" w:cs="宋体" w:hint="eastAsia"/>
                <w:kern w:val="0"/>
                <w:sz w:val="22"/>
              </w:rPr>
              <w:t xml:space="preserve">   其中：办公用房（平方米）</w:t>
            </w:r>
          </w:p>
        </w:tc>
        <w:tc>
          <w:tcPr>
            <w:tcW w:w="3155"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2300</w:t>
            </w:r>
          </w:p>
        </w:tc>
        <w:tc>
          <w:tcPr>
            <w:tcW w:w="5103"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293.43</w:t>
            </w:r>
          </w:p>
        </w:tc>
      </w:tr>
      <w:tr w:rsidR="00A232FD">
        <w:trPr>
          <w:trHeight w:val="566"/>
        </w:trPr>
        <w:tc>
          <w:tcPr>
            <w:tcW w:w="5224" w:type="dxa"/>
            <w:tcBorders>
              <w:top w:val="nil"/>
              <w:left w:val="single" w:sz="4" w:space="0" w:color="auto"/>
              <w:bottom w:val="single" w:sz="4" w:space="0" w:color="auto"/>
              <w:right w:val="single" w:sz="4" w:space="0" w:color="auto"/>
            </w:tcBorders>
            <w:vAlign w:val="center"/>
          </w:tcPr>
          <w:p w:rsidR="00A232FD" w:rsidRDefault="00E33AB9">
            <w:pPr>
              <w:widowControl/>
              <w:jc w:val="left"/>
              <w:rPr>
                <w:rFonts w:ascii="宋体" w:hAnsi="宋体" w:cs="宋体"/>
                <w:kern w:val="0"/>
                <w:sz w:val="22"/>
              </w:rPr>
            </w:pPr>
            <w:r>
              <w:rPr>
                <w:rFonts w:ascii="宋体" w:hAnsi="宋体" w:cs="宋体" w:hint="eastAsia"/>
                <w:kern w:val="0"/>
                <w:sz w:val="22"/>
              </w:rPr>
              <w:t>2、车辆（台、辆）</w:t>
            </w:r>
          </w:p>
        </w:tc>
        <w:tc>
          <w:tcPr>
            <w:tcW w:w="3155"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3</w:t>
            </w:r>
          </w:p>
        </w:tc>
        <w:tc>
          <w:tcPr>
            <w:tcW w:w="5103"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54.98</w:t>
            </w:r>
          </w:p>
        </w:tc>
      </w:tr>
      <w:tr w:rsidR="00A232FD">
        <w:trPr>
          <w:trHeight w:val="546"/>
        </w:trPr>
        <w:tc>
          <w:tcPr>
            <w:tcW w:w="5224" w:type="dxa"/>
            <w:tcBorders>
              <w:top w:val="nil"/>
              <w:left w:val="single" w:sz="4" w:space="0" w:color="auto"/>
              <w:bottom w:val="single" w:sz="4" w:space="0" w:color="auto"/>
              <w:right w:val="single" w:sz="4" w:space="0" w:color="auto"/>
            </w:tcBorders>
            <w:vAlign w:val="center"/>
          </w:tcPr>
          <w:p w:rsidR="00A232FD" w:rsidRDefault="00E33AB9">
            <w:pPr>
              <w:widowControl/>
              <w:jc w:val="left"/>
              <w:rPr>
                <w:rFonts w:ascii="宋体" w:hAnsi="宋体" w:cs="宋体"/>
                <w:kern w:val="0"/>
                <w:sz w:val="22"/>
              </w:rPr>
            </w:pPr>
            <w:r>
              <w:rPr>
                <w:rFonts w:ascii="宋体" w:hAnsi="宋体" w:cs="宋体" w:hint="eastAsia"/>
                <w:kern w:val="0"/>
                <w:sz w:val="22"/>
              </w:rPr>
              <w:t>3、单价在20万元以上的设备</w:t>
            </w:r>
          </w:p>
        </w:tc>
        <w:tc>
          <w:tcPr>
            <w:tcW w:w="3155" w:type="dxa"/>
            <w:tcBorders>
              <w:top w:val="nil"/>
              <w:left w:val="nil"/>
              <w:bottom w:val="single" w:sz="4" w:space="0" w:color="auto"/>
              <w:right w:val="single" w:sz="4" w:space="0" w:color="auto"/>
            </w:tcBorders>
            <w:vAlign w:val="center"/>
          </w:tcPr>
          <w:p w:rsidR="00A232FD" w:rsidRDefault="00A232FD">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A232FD" w:rsidRDefault="00A232FD">
            <w:pPr>
              <w:widowControl/>
              <w:jc w:val="center"/>
              <w:rPr>
                <w:rFonts w:ascii="宋体" w:hAnsi="宋体" w:cs="宋体"/>
                <w:kern w:val="0"/>
                <w:sz w:val="22"/>
              </w:rPr>
            </w:pPr>
          </w:p>
        </w:tc>
      </w:tr>
      <w:tr w:rsidR="00A232FD">
        <w:trPr>
          <w:trHeight w:val="645"/>
        </w:trPr>
        <w:tc>
          <w:tcPr>
            <w:tcW w:w="5224" w:type="dxa"/>
            <w:tcBorders>
              <w:top w:val="nil"/>
              <w:left w:val="single" w:sz="4" w:space="0" w:color="auto"/>
              <w:bottom w:val="single" w:sz="4" w:space="0" w:color="auto"/>
              <w:right w:val="single" w:sz="4" w:space="0" w:color="auto"/>
            </w:tcBorders>
            <w:vAlign w:val="center"/>
          </w:tcPr>
          <w:p w:rsidR="00A232FD" w:rsidRDefault="00E33AB9">
            <w:pPr>
              <w:widowControl/>
              <w:jc w:val="left"/>
              <w:rPr>
                <w:rFonts w:ascii="宋体" w:hAnsi="宋体" w:cs="宋体"/>
                <w:kern w:val="0"/>
                <w:sz w:val="22"/>
              </w:rPr>
            </w:pPr>
            <w:r>
              <w:rPr>
                <w:rFonts w:ascii="宋体" w:hAnsi="宋体" w:cs="宋体" w:hint="eastAsia"/>
                <w:kern w:val="0"/>
                <w:sz w:val="22"/>
              </w:rPr>
              <w:t>4、其他固定资产</w:t>
            </w:r>
          </w:p>
        </w:tc>
        <w:tc>
          <w:tcPr>
            <w:tcW w:w="3155" w:type="dxa"/>
            <w:tcBorders>
              <w:top w:val="nil"/>
              <w:left w:val="nil"/>
              <w:bottom w:val="single" w:sz="4" w:space="0" w:color="auto"/>
              <w:right w:val="single" w:sz="4" w:space="0" w:color="auto"/>
            </w:tcBorders>
            <w:vAlign w:val="center"/>
          </w:tcPr>
          <w:p w:rsidR="00A232FD" w:rsidRDefault="00A232FD">
            <w:pPr>
              <w:widowControl/>
              <w:jc w:val="center"/>
              <w:rPr>
                <w:rFonts w:ascii="宋体" w:hAnsi="宋体" w:cs="宋体"/>
                <w:kern w:val="0"/>
                <w:sz w:val="22"/>
              </w:rPr>
            </w:pPr>
          </w:p>
        </w:tc>
        <w:tc>
          <w:tcPr>
            <w:tcW w:w="5103" w:type="dxa"/>
            <w:tcBorders>
              <w:top w:val="nil"/>
              <w:left w:val="nil"/>
              <w:bottom w:val="single" w:sz="4" w:space="0" w:color="auto"/>
              <w:right w:val="single" w:sz="4" w:space="0" w:color="auto"/>
            </w:tcBorders>
            <w:vAlign w:val="center"/>
          </w:tcPr>
          <w:p w:rsidR="00A232FD" w:rsidRDefault="00E33AB9">
            <w:pPr>
              <w:widowControl/>
              <w:jc w:val="center"/>
              <w:rPr>
                <w:rFonts w:ascii="宋体" w:hAnsi="宋体" w:cs="宋体"/>
                <w:kern w:val="0"/>
                <w:sz w:val="22"/>
              </w:rPr>
            </w:pPr>
            <w:r>
              <w:rPr>
                <w:rFonts w:ascii="宋体" w:hAnsi="宋体" w:cs="宋体" w:hint="eastAsia"/>
                <w:kern w:val="0"/>
                <w:sz w:val="22"/>
              </w:rPr>
              <w:t>141.25</w:t>
            </w:r>
          </w:p>
        </w:tc>
      </w:tr>
    </w:tbl>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八、名词解释</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w:t>
      </w:r>
      <w:r>
        <w:rPr>
          <w:rFonts w:ascii="仿宋_GB2312" w:eastAsia="仿宋_GB2312" w:hAnsi="黑体" w:cs="Times New Roman"/>
          <w:sz w:val="32"/>
          <w:szCs w:val="32"/>
        </w:rPr>
        <w:t xml:space="preserve">   </w:t>
      </w:r>
      <w:r>
        <w:rPr>
          <w:rFonts w:ascii="仿宋_GB2312" w:eastAsia="仿宋_GB2312" w:hAnsi="黑体" w:cs="Times New Roman" w:hint="eastAsia"/>
          <w:sz w:val="32"/>
          <w:szCs w:val="32"/>
        </w:rPr>
        <w:t>1、一般公共预算拨款收入：指市级财政当年拨付的资金。</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2、事业收入：指事业单位开展专业业务活动及辅助活动所取得的收入。</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3、其他收入：指除上述“财政拨款收入”、“事业收入”等以外的收入。主要是按规定动用的租房收入、存款利息收入等。</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4、基本支出：指为保障机构正常运转、完成日常工作任务而发生的人员支出和公用支出。</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5、项目支出：指在基本支出之外为完成特定行政任务和事业发展目标所发生的支出。</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6、上缴上级支出：指下级单位上缴上级的支出。</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lastRenderedPageBreak/>
        <w:t xml:space="preserve">    7、“三公”经费：纳入市级财政预算管理的“三公”经费，是指市级部门用财政拨款安排的因公出国（境）费、公务用车购置及运行费和公务接待费。其中，因公出国（境）</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单位公务出国（境）的住宿费、旅费、伙食补助费、杂费、培训费等支出；公务用车购置及运行</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单位公务用车购置费及租用费、燃料费、维修费、过路过桥费、保险费、安全奖励费用等支出；公务接待</w:t>
      </w:r>
      <w:proofErr w:type="gramStart"/>
      <w:r>
        <w:rPr>
          <w:rFonts w:ascii="仿宋_GB2312" w:eastAsia="仿宋_GB2312" w:hAnsi="黑体" w:cs="Times New Roman" w:hint="eastAsia"/>
          <w:sz w:val="32"/>
          <w:szCs w:val="32"/>
        </w:rPr>
        <w:t>费反映</w:t>
      </w:r>
      <w:proofErr w:type="gramEnd"/>
      <w:r>
        <w:rPr>
          <w:rFonts w:ascii="仿宋_GB2312" w:eastAsia="仿宋_GB2312" w:hAnsi="黑体" w:cs="Times New Roman" w:hint="eastAsia"/>
          <w:sz w:val="32"/>
          <w:szCs w:val="32"/>
        </w:rPr>
        <w:t>单位按规定开支的各类公务接待（含外宾接待）支出。</w:t>
      </w:r>
    </w:p>
    <w:p w:rsidR="00A232FD" w:rsidRDefault="00E33AB9">
      <w:pPr>
        <w:rPr>
          <w:rFonts w:ascii="仿宋_GB2312" w:eastAsia="仿宋_GB2312" w:hAnsi="黑体" w:cs="Times New Roman"/>
          <w:sz w:val="32"/>
          <w:szCs w:val="32"/>
        </w:rPr>
      </w:pPr>
      <w:r>
        <w:rPr>
          <w:rFonts w:ascii="仿宋_GB2312" w:eastAsia="仿宋_GB2312" w:hAnsi="黑体" w:cs="Times New Roman" w:hint="eastAsia"/>
          <w:sz w:val="32"/>
          <w:szCs w:val="32"/>
        </w:rPr>
        <w:t xml:space="preserve">    8、机关运行费：为保障行政单位（包括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A232FD" w:rsidRDefault="00E33AB9">
      <w:pPr>
        <w:ind w:firstLineChars="200" w:firstLine="640"/>
        <w:rPr>
          <w:rFonts w:ascii="黑体" w:eastAsia="黑体" w:hAnsi="黑体" w:cs="Times New Roman"/>
          <w:sz w:val="32"/>
          <w:szCs w:val="32"/>
        </w:rPr>
      </w:pPr>
      <w:r>
        <w:rPr>
          <w:rFonts w:ascii="黑体" w:eastAsia="黑体" w:hAnsi="黑体" w:cs="Times New Roman" w:hint="eastAsia"/>
          <w:sz w:val="32"/>
          <w:szCs w:val="32"/>
        </w:rPr>
        <w:t>九、其他需要说明的事项</w:t>
      </w:r>
    </w:p>
    <w:p w:rsidR="00A232FD" w:rsidRDefault="00E33AB9">
      <w:pPr>
        <w:ind w:firstLine="640"/>
        <w:rPr>
          <w:rFonts w:ascii="仿宋_GB2312" w:eastAsia="仿宋_GB2312" w:hAnsi="黑体" w:cs="Times New Roman"/>
          <w:sz w:val="32"/>
          <w:szCs w:val="32"/>
        </w:rPr>
      </w:pPr>
      <w:r>
        <w:rPr>
          <w:rFonts w:ascii="仿宋_GB2312" w:eastAsia="仿宋_GB2312" w:hAnsi="黑体" w:cs="Times New Roman" w:hint="eastAsia"/>
          <w:sz w:val="32"/>
          <w:szCs w:val="32"/>
        </w:rPr>
        <w:t>无其他需要说明的事项。</w:t>
      </w:r>
    </w:p>
    <w:sectPr w:rsidR="00A232FD" w:rsidSect="007243AC">
      <w:footerReference w:type="default" r:id="rId7"/>
      <w:pgSz w:w="16839" w:h="11907" w:orient="landscape"/>
      <w:pgMar w:top="1304" w:right="1985" w:bottom="1304" w:left="1134"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329D" w:rsidRDefault="002E329D">
      <w:r>
        <w:separator/>
      </w:r>
    </w:p>
  </w:endnote>
  <w:endnote w:type="continuationSeparator" w:id="0">
    <w:p w:rsidR="002E329D" w:rsidRDefault="002E32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书宋_GBK">
    <w:altName w:val="方正仿宋_GBK"/>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2FD" w:rsidRDefault="0070556F">
    <w:pPr>
      <w:pStyle w:val="a4"/>
      <w:jc w:val="center"/>
    </w:pPr>
    <w:r>
      <w:rPr>
        <w:sz w:val="28"/>
      </w:rPr>
      <w:fldChar w:fldCharType="begin"/>
    </w:r>
    <w:r w:rsidR="00E33AB9">
      <w:rPr>
        <w:sz w:val="28"/>
      </w:rPr>
      <w:instrText>PAGE   \* MERGEFORMAT</w:instrText>
    </w:r>
    <w:r>
      <w:rPr>
        <w:sz w:val="28"/>
      </w:rPr>
      <w:fldChar w:fldCharType="separate"/>
    </w:r>
    <w:r w:rsidR="00D70249" w:rsidRPr="00D70249">
      <w:rPr>
        <w:noProof/>
        <w:sz w:val="28"/>
        <w:lang w:val="zh-CN"/>
      </w:rPr>
      <w:t>22</w:t>
    </w:r>
    <w:r>
      <w:rPr>
        <w:sz w:val="28"/>
      </w:rPr>
      <w:fldChar w:fldCharType="end"/>
    </w:r>
  </w:p>
  <w:p w:rsidR="00A232FD" w:rsidRDefault="00A232F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329D" w:rsidRDefault="002E329D">
      <w:r>
        <w:separator/>
      </w:r>
    </w:p>
  </w:footnote>
  <w:footnote w:type="continuationSeparator" w:id="0">
    <w:p w:rsidR="002E329D" w:rsidRDefault="002E329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66032"/>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0D6"/>
    <w:rsid w:val="00055D09"/>
    <w:rsid w:val="0006250F"/>
    <w:rsid w:val="000643A0"/>
    <w:rsid w:val="00067117"/>
    <w:rsid w:val="00072071"/>
    <w:rsid w:val="00075D5F"/>
    <w:rsid w:val="000806AF"/>
    <w:rsid w:val="00083592"/>
    <w:rsid w:val="000920C0"/>
    <w:rsid w:val="00092B39"/>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6369"/>
    <w:rsid w:val="001174B3"/>
    <w:rsid w:val="00122CA5"/>
    <w:rsid w:val="001245BB"/>
    <w:rsid w:val="00126262"/>
    <w:rsid w:val="001353FD"/>
    <w:rsid w:val="001433DA"/>
    <w:rsid w:val="00152A3B"/>
    <w:rsid w:val="0015579B"/>
    <w:rsid w:val="00156150"/>
    <w:rsid w:val="00157326"/>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1648"/>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18AD"/>
    <w:rsid w:val="00277483"/>
    <w:rsid w:val="002820E1"/>
    <w:rsid w:val="00287688"/>
    <w:rsid w:val="002935FC"/>
    <w:rsid w:val="00296113"/>
    <w:rsid w:val="00296AE7"/>
    <w:rsid w:val="002A1C6C"/>
    <w:rsid w:val="002A215D"/>
    <w:rsid w:val="002B41F7"/>
    <w:rsid w:val="002B6ADE"/>
    <w:rsid w:val="002C4F5B"/>
    <w:rsid w:val="002E0A4A"/>
    <w:rsid w:val="002E329D"/>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65C8B"/>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0F53"/>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93D87"/>
    <w:rsid w:val="006A1C7F"/>
    <w:rsid w:val="006A4939"/>
    <w:rsid w:val="006A7F21"/>
    <w:rsid w:val="006B1C9F"/>
    <w:rsid w:val="006B646B"/>
    <w:rsid w:val="006B79C4"/>
    <w:rsid w:val="006C4C4E"/>
    <w:rsid w:val="006C65A4"/>
    <w:rsid w:val="006D4BB2"/>
    <w:rsid w:val="006E51D3"/>
    <w:rsid w:val="006E5547"/>
    <w:rsid w:val="0070556F"/>
    <w:rsid w:val="00712F2E"/>
    <w:rsid w:val="00717C22"/>
    <w:rsid w:val="007237EA"/>
    <w:rsid w:val="007243AC"/>
    <w:rsid w:val="00737766"/>
    <w:rsid w:val="00740392"/>
    <w:rsid w:val="00740925"/>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8F6F41"/>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035"/>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232FD"/>
    <w:rsid w:val="00A32DA3"/>
    <w:rsid w:val="00A4039F"/>
    <w:rsid w:val="00A44217"/>
    <w:rsid w:val="00A4589C"/>
    <w:rsid w:val="00A47939"/>
    <w:rsid w:val="00A47B9D"/>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B5010"/>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31F9"/>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0249"/>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26CF9"/>
    <w:rsid w:val="00E33AB9"/>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338CF"/>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834"/>
    <w:rsid w:val="00FB7C83"/>
    <w:rsid w:val="00FC11F8"/>
    <w:rsid w:val="00FC459C"/>
    <w:rsid w:val="00FD52DC"/>
    <w:rsid w:val="00FD596F"/>
    <w:rsid w:val="00FD6519"/>
    <w:rsid w:val="00FE25D5"/>
    <w:rsid w:val="00FE2A35"/>
    <w:rsid w:val="00FE2E68"/>
    <w:rsid w:val="00FF0EC6"/>
    <w:rsid w:val="00FF3F1E"/>
    <w:rsid w:val="00FF4B95"/>
    <w:rsid w:val="022A2F1B"/>
    <w:rsid w:val="02E14C48"/>
    <w:rsid w:val="05BE40FB"/>
    <w:rsid w:val="1EA001BE"/>
    <w:rsid w:val="37FE3B6D"/>
    <w:rsid w:val="3A7257F0"/>
    <w:rsid w:val="49BD3C89"/>
    <w:rsid w:val="4BEB429E"/>
    <w:rsid w:val="4C4417E5"/>
    <w:rsid w:val="4C6C5AF1"/>
    <w:rsid w:val="5E405BB2"/>
    <w:rsid w:val="67090219"/>
    <w:rsid w:val="724B2010"/>
    <w:rsid w:val="7A9D28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nhideWhenUsed="0"/>
    <w:lsdException w:name="toc 2" w:semiHidden="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uiPriority="1"/>
    <w:lsdException w:name="Subtitle" w:semiHidden="0" w:uiPriority="11" w:unhideWhenUsed="0" w:qFormat="1"/>
    <w:lsdException w:name="FollowedHyperlink"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6F"/>
    <w:pPr>
      <w:widowControl w:val="0"/>
      <w:jc w:val="both"/>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rsid w:val="0070556F"/>
    <w:rPr>
      <w:sz w:val="18"/>
      <w:szCs w:val="18"/>
    </w:rPr>
  </w:style>
  <w:style w:type="paragraph" w:styleId="a4">
    <w:name w:val="footer"/>
    <w:basedOn w:val="a"/>
    <w:link w:val="Char0"/>
    <w:rsid w:val="0070556F"/>
    <w:pPr>
      <w:tabs>
        <w:tab w:val="center" w:pos="4153"/>
        <w:tab w:val="right" w:pos="8306"/>
      </w:tabs>
      <w:snapToGrid w:val="0"/>
      <w:jc w:val="left"/>
    </w:pPr>
    <w:rPr>
      <w:rFonts w:ascii="Times New Roman" w:hAnsi="Times New Roman" w:cs="Times New Roman"/>
      <w:sz w:val="18"/>
      <w:szCs w:val="18"/>
    </w:rPr>
  </w:style>
  <w:style w:type="paragraph" w:styleId="a5">
    <w:name w:val="header"/>
    <w:basedOn w:val="a"/>
    <w:link w:val="Char1"/>
    <w:rsid w:val="0070556F"/>
    <w:pPr>
      <w:pBdr>
        <w:bottom w:val="single" w:sz="6" w:space="1" w:color="auto"/>
      </w:pBdr>
      <w:tabs>
        <w:tab w:val="center" w:pos="4153"/>
        <w:tab w:val="right" w:pos="8306"/>
      </w:tabs>
      <w:snapToGrid w:val="0"/>
      <w:jc w:val="center"/>
    </w:pPr>
    <w:rPr>
      <w:rFonts w:ascii="Times New Roman" w:hAnsi="Times New Roman" w:cs="Times New Roman"/>
      <w:sz w:val="18"/>
      <w:szCs w:val="18"/>
    </w:rPr>
  </w:style>
  <w:style w:type="paragraph" w:styleId="1">
    <w:name w:val="toc 1"/>
    <w:basedOn w:val="a"/>
    <w:next w:val="a"/>
    <w:rsid w:val="0070556F"/>
    <w:rPr>
      <w:rFonts w:ascii="Times New Roman" w:hAnsi="Times New Roman" w:cs="Times New Roman"/>
      <w:szCs w:val="24"/>
    </w:rPr>
  </w:style>
  <w:style w:type="paragraph" w:styleId="2">
    <w:name w:val="toc 2"/>
    <w:basedOn w:val="a"/>
    <w:next w:val="a"/>
    <w:rsid w:val="0070556F"/>
    <w:pPr>
      <w:ind w:leftChars="200" w:left="420"/>
    </w:pPr>
    <w:rPr>
      <w:rFonts w:ascii="Times New Roman" w:hAnsi="Times New Roman" w:cs="Times New Roman"/>
      <w:szCs w:val="24"/>
    </w:rPr>
  </w:style>
  <w:style w:type="character" w:styleId="a6">
    <w:name w:val="page number"/>
    <w:basedOn w:val="a0"/>
    <w:unhideWhenUsed/>
    <w:rsid w:val="0070556F"/>
  </w:style>
  <w:style w:type="character" w:styleId="a7">
    <w:name w:val="FollowedHyperlink"/>
    <w:basedOn w:val="a0"/>
    <w:uiPriority w:val="99"/>
    <w:semiHidden/>
    <w:unhideWhenUsed/>
    <w:rsid w:val="0070556F"/>
    <w:rPr>
      <w:color w:val="800080" w:themeColor="followedHyperlink"/>
      <w:u w:val="single"/>
    </w:rPr>
  </w:style>
  <w:style w:type="character" w:styleId="a8">
    <w:name w:val="Hyperlink"/>
    <w:basedOn w:val="a0"/>
    <w:semiHidden/>
    <w:unhideWhenUsed/>
    <w:rsid w:val="0070556F"/>
    <w:rPr>
      <w:color w:val="0000FF"/>
      <w:u w:val="single"/>
    </w:rPr>
  </w:style>
  <w:style w:type="paragraph" w:customStyle="1" w:styleId="Default">
    <w:name w:val="Default"/>
    <w:rsid w:val="0070556F"/>
    <w:pPr>
      <w:widowControl w:val="0"/>
      <w:autoSpaceDE w:val="0"/>
      <w:autoSpaceDN w:val="0"/>
      <w:adjustRightInd w:val="0"/>
    </w:pPr>
    <w:rPr>
      <w:color w:val="000000"/>
      <w:sz w:val="24"/>
      <w:szCs w:val="24"/>
    </w:rPr>
  </w:style>
  <w:style w:type="paragraph" w:customStyle="1" w:styleId="Char2">
    <w:name w:val="Char"/>
    <w:basedOn w:val="a"/>
    <w:rsid w:val="0070556F"/>
    <w:rPr>
      <w:rFonts w:ascii="Tahoma" w:hAnsi="Tahoma" w:cs="Times New Roman"/>
      <w:sz w:val="24"/>
      <w:szCs w:val="24"/>
    </w:rPr>
  </w:style>
  <w:style w:type="character" w:customStyle="1" w:styleId="Char1">
    <w:name w:val="页眉 Char"/>
    <w:basedOn w:val="a0"/>
    <w:link w:val="a5"/>
    <w:rsid w:val="0070556F"/>
    <w:rPr>
      <w:rFonts w:ascii="Times New Roman" w:eastAsia="宋体" w:hAnsi="Times New Roman" w:cs="Times New Roman"/>
      <w:sz w:val="18"/>
      <w:szCs w:val="18"/>
    </w:rPr>
  </w:style>
  <w:style w:type="character" w:customStyle="1" w:styleId="Char0">
    <w:name w:val="页脚 Char"/>
    <w:basedOn w:val="a0"/>
    <w:link w:val="a4"/>
    <w:rsid w:val="0070556F"/>
    <w:rPr>
      <w:rFonts w:ascii="Times New Roman" w:eastAsia="宋体" w:hAnsi="Times New Roman" w:cs="Times New Roman"/>
      <w:sz w:val="18"/>
      <w:szCs w:val="18"/>
    </w:rPr>
  </w:style>
  <w:style w:type="character" w:customStyle="1" w:styleId="Char">
    <w:name w:val="批注框文本 Char"/>
    <w:basedOn w:val="a0"/>
    <w:link w:val="a3"/>
    <w:uiPriority w:val="99"/>
    <w:semiHidden/>
    <w:rsid w:val="0070556F"/>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25</Pages>
  <Words>1755</Words>
  <Characters>10004</Characters>
  <Application>Microsoft Office Word</Application>
  <DocSecurity>0</DocSecurity>
  <Lines>83</Lines>
  <Paragraphs>23</Paragraphs>
  <ScaleCrop>false</ScaleCrop>
  <Company>Microsoft</Company>
  <LinksUpToDate>false</LinksUpToDate>
  <CharactersWithSpaces>11736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霸州市XXX（部门全称）2020年部门预算信息公开</dc:title>
  <dc:creator>guest</dc:creator>
  <cp:lastModifiedBy>微软用户</cp:lastModifiedBy>
  <cp:revision>29</cp:revision>
  <cp:lastPrinted>2018-02-28T01:51:00Z</cp:lastPrinted>
  <dcterms:created xsi:type="dcterms:W3CDTF">2017-10-26T06:45:00Z</dcterms:created>
  <dcterms:modified xsi:type="dcterms:W3CDTF">2021-04-29T00:35:00Z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